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8BBC" w14:textId="7A95C628" w:rsidR="00340ECA" w:rsidRDefault="00335B0C" w:rsidP="002365D0">
      <w:r>
        <w:t xml:space="preserve">Geachte </w:t>
      </w:r>
      <w:r w:rsidR="002365D0">
        <w:t>V</w:t>
      </w:r>
      <w:r>
        <w:t xml:space="preserve">oorzitter, </w:t>
      </w:r>
    </w:p>
    <w:p w14:paraId="7E855E2B" w14:textId="77777777" w:rsidR="00242219" w:rsidRDefault="00242219" w:rsidP="002365D0"/>
    <w:p w14:paraId="5D7AA4A2" w14:textId="77777777" w:rsidR="00242219" w:rsidRDefault="00335B0C" w:rsidP="002365D0">
      <w:r>
        <w:t>In Nederland vormt de coöperatieve energiebeweging een belangrijk onderdeel van de energietransitie. Burgers wekke</w:t>
      </w:r>
      <w:r w:rsidR="00D61316">
        <w:t>n</w:t>
      </w:r>
      <w:r>
        <w:t xml:space="preserve"> samen, in lokaal verband</w:t>
      </w:r>
      <w:r w:rsidR="00D61316">
        <w:t>,</w:t>
      </w:r>
      <w:r>
        <w:t xml:space="preserve"> hun eigen energie op. Bijvoorbeeld elektriciteit, door zonnepanelen die slim ingepast zijn op een dak in de buurt. Ik juich deze beweging toe. Daarom ondersteun ik deze </w:t>
      </w:r>
      <w:r w:rsidR="009F4DA5">
        <w:t>initiatieven</w:t>
      </w:r>
      <w:r>
        <w:t>, bijvoorbeeld m</w:t>
      </w:r>
      <w:r w:rsidR="009F4DA5">
        <w:t>et</w:t>
      </w:r>
      <w:r>
        <w:t xml:space="preserve"> de Subsidieregeling </w:t>
      </w:r>
      <w:r w:rsidR="009F4DA5">
        <w:t>c</w:t>
      </w:r>
      <w:r>
        <w:t xml:space="preserve">oöperatieve </w:t>
      </w:r>
      <w:r w:rsidR="009F4DA5">
        <w:t>e</w:t>
      </w:r>
      <w:r>
        <w:t>nergieopwekking (SCE). Hierin kunnen energiecoöperaties en</w:t>
      </w:r>
      <w:r w:rsidR="009F4DA5">
        <w:t xml:space="preserve"> verenigingen van eigenaars (</w:t>
      </w:r>
      <w:r>
        <w:t>VvE</w:t>
      </w:r>
      <w:r w:rsidR="00474DB7">
        <w:t>’</w:t>
      </w:r>
      <w:r>
        <w:t>s</w:t>
      </w:r>
      <w:r w:rsidR="009F4DA5">
        <w:t>)</w:t>
      </w:r>
      <w:r>
        <w:t xml:space="preserve"> </w:t>
      </w:r>
      <w:r w:rsidR="00474DB7">
        <w:t xml:space="preserve">subsidie </w:t>
      </w:r>
      <w:r>
        <w:t>aanvra</w:t>
      </w:r>
      <w:r w:rsidR="00474DB7">
        <w:t>gen</w:t>
      </w:r>
      <w:r>
        <w:t xml:space="preserve"> voor projecten met zonnepanelen, windturbines of waterkracht. </w:t>
      </w:r>
    </w:p>
    <w:p w14:paraId="450AD55C" w14:textId="77777777" w:rsidR="00242219" w:rsidRDefault="00242219" w:rsidP="002365D0"/>
    <w:p w14:paraId="4BA80396" w14:textId="77777777" w:rsidR="00242219" w:rsidRDefault="00335B0C" w:rsidP="002365D0">
      <w:r>
        <w:t xml:space="preserve">Op dit moment staat de SCE-ronde </w:t>
      </w:r>
      <w:r w:rsidR="009F4DA5">
        <w:t xml:space="preserve">van dit jaar nog </w:t>
      </w:r>
      <w:r>
        <w:t xml:space="preserve">open tot en met 1 december 2022. In de </w:t>
      </w:r>
      <w:r w:rsidR="00D61316">
        <w:t>Verzamelbrief SDE++ van 1 juli jl. (Kamerstuk</w:t>
      </w:r>
      <w:r w:rsidR="009F4DA5">
        <w:t>ken II, 2021-2022,</w:t>
      </w:r>
      <w:r w:rsidR="00D61316">
        <w:t xml:space="preserve"> 31 239, nr. 364)</w:t>
      </w:r>
      <w:r>
        <w:t xml:space="preserve"> heb ik aangegeven dat ik </w:t>
      </w:r>
      <w:r w:rsidR="00E10F4D">
        <w:t>de</w:t>
      </w:r>
      <w:r>
        <w:t xml:space="preserve"> volgende openstelling</w:t>
      </w:r>
      <w:r w:rsidR="00E10F4D">
        <w:t xml:space="preserve"> van de SCE vervroeg naar januari 2023</w:t>
      </w:r>
      <w:r>
        <w:t>. Middels deze brief stel ik u</w:t>
      </w:r>
      <w:r w:rsidR="00D61316">
        <w:t xml:space="preserve"> </w:t>
      </w:r>
      <w:r>
        <w:t xml:space="preserve">op de hoogte van </w:t>
      </w:r>
      <w:r w:rsidR="003476A3">
        <w:t>de vormgeving</w:t>
      </w:r>
      <w:r w:rsidR="009F4DA5">
        <w:t xml:space="preserve">, </w:t>
      </w:r>
      <w:r w:rsidR="0007730A">
        <w:t xml:space="preserve">de </w:t>
      </w:r>
      <w:r w:rsidR="009F4DA5">
        <w:t xml:space="preserve">subsidietarieven en het openstellingsbudget voor de SCE 2023. </w:t>
      </w:r>
      <w:r w:rsidR="003476A3">
        <w:t>I</w:t>
      </w:r>
      <w:r w:rsidR="00C31FC7">
        <w:t xml:space="preserve">k verwijs u </w:t>
      </w:r>
      <w:r w:rsidR="003476A3">
        <w:t xml:space="preserve">eveneens </w:t>
      </w:r>
      <w:r w:rsidR="00C31FC7">
        <w:t xml:space="preserve">naar </w:t>
      </w:r>
      <w:r w:rsidR="003476A3">
        <w:t xml:space="preserve">het advies van het Planbureau voor de Leefomgeving (PBL) dat ten grondslag ligt aan de gekozen subsidietarieven en categorieën. </w:t>
      </w:r>
      <w:r w:rsidR="009F4DA5" w:rsidRPr="009F4DA5">
        <w:t xml:space="preserve">Verder licht ik enkele wijzigingen in de SCE voor volgend jaar toe, die nodig zijn om de regeling beter passend te maken bij de praktijk. </w:t>
      </w:r>
      <w:r>
        <w:t xml:space="preserve">Daarnaast kom ik een toezegging aan uw Kamer na over terugkoppeling van het constructieve </w:t>
      </w:r>
      <w:r w:rsidR="009F4DA5">
        <w:t>rondetafel</w:t>
      </w:r>
      <w:r>
        <w:t>gesprek dat ik gevoerd heb met afgevaardigden van energiecoöperatie</w:t>
      </w:r>
      <w:r w:rsidR="009F4DA5">
        <w:t>s</w:t>
      </w:r>
      <w:r>
        <w:t>. Tevens geef ik middels een analyse</w:t>
      </w:r>
      <w:r w:rsidR="005A3376">
        <w:t xml:space="preserve"> in bijlage 1</w:t>
      </w:r>
      <w:r>
        <w:t xml:space="preserve"> invulling aan de motie </w:t>
      </w:r>
      <w:r w:rsidRPr="00E10F4D">
        <w:t>Kr</w:t>
      </w:r>
      <w:r w:rsidR="00474DB7">
        <w:t>ö</w:t>
      </w:r>
      <w:r w:rsidRPr="00E10F4D">
        <w:t>ger (</w:t>
      </w:r>
      <w:r w:rsidR="00E10F4D" w:rsidRPr="00E10F4D">
        <w:t>Kamerstuk 31 239, nr. 352</w:t>
      </w:r>
      <w:r w:rsidRPr="00E10F4D">
        <w:t>)</w:t>
      </w:r>
      <w:r w:rsidR="0007730A">
        <w:t>,</w:t>
      </w:r>
      <w:r w:rsidRPr="00E10F4D">
        <w:t xml:space="preserve"> die mij verzocht </w:t>
      </w:r>
      <w:r w:rsidR="009F4DA5" w:rsidRPr="009F4DA5">
        <w:t xml:space="preserve">een quickscan te </w:t>
      </w:r>
      <w:r w:rsidR="0007730A">
        <w:t>maken</w:t>
      </w:r>
      <w:r w:rsidR="0007730A" w:rsidRPr="009F4DA5">
        <w:t xml:space="preserve"> </w:t>
      </w:r>
      <w:r w:rsidR="009F4DA5" w:rsidRPr="009F4DA5">
        <w:t xml:space="preserve">van de realisatiegraad van </w:t>
      </w:r>
      <w:r w:rsidR="009F4DA5">
        <w:t xml:space="preserve">coöperatieve </w:t>
      </w:r>
      <w:r w:rsidR="009F4DA5" w:rsidRPr="009F4DA5">
        <w:t xml:space="preserve">energieprojecten en </w:t>
      </w:r>
      <w:r w:rsidRPr="00E10F4D">
        <w:t xml:space="preserve">te onderzoeken </w:t>
      </w:r>
      <w:r w:rsidR="00E10F4D" w:rsidRPr="00E10F4D">
        <w:t>of energiecoöperaties en burgerinitiatieven in de huidige SDE++-systematiek nadelen ondervinden.</w:t>
      </w:r>
      <w:r w:rsidR="000075DD">
        <w:t xml:space="preserve"> Ten</w:t>
      </w:r>
      <w:r w:rsidR="0007730A">
        <w:t xml:space="preserve"> </w:t>
      </w:r>
      <w:r w:rsidR="000075DD">
        <w:t>slotte kom ik een toezegging aan</w:t>
      </w:r>
      <w:r w:rsidR="0007730A">
        <w:t xml:space="preserve"> het</w:t>
      </w:r>
      <w:r w:rsidR="000075DD">
        <w:t xml:space="preserve"> </w:t>
      </w:r>
      <w:r w:rsidR="009F4DA5">
        <w:t>l</w:t>
      </w:r>
      <w:r w:rsidR="000075DD">
        <w:t>id Kr</w:t>
      </w:r>
      <w:r w:rsidR="009F4DA5">
        <w:t>ö</w:t>
      </w:r>
      <w:r w:rsidR="000075DD">
        <w:t xml:space="preserve">ger na om uw Kamer een kort overzicht te geven van de regelingen waarvan coöperatieve energie-initiatieven gebruik kunnen maken. </w:t>
      </w:r>
    </w:p>
    <w:p w14:paraId="079E712E" w14:textId="77777777" w:rsidR="00242219" w:rsidRDefault="00242219" w:rsidP="002365D0"/>
    <w:p w14:paraId="6468A376" w14:textId="77777777" w:rsidR="00BC13C0" w:rsidRDefault="00335B0C" w:rsidP="002365D0">
      <w:pPr>
        <w:rPr>
          <w:b/>
          <w:bCs/>
        </w:rPr>
      </w:pPr>
      <w:r>
        <w:rPr>
          <w:b/>
          <w:bCs/>
        </w:rPr>
        <w:t>Openstelling</w:t>
      </w:r>
      <w:r w:rsidR="009F4DA5">
        <w:rPr>
          <w:b/>
          <w:bCs/>
        </w:rPr>
        <w:t>s</w:t>
      </w:r>
      <w:r w:rsidR="00F92A6D">
        <w:rPr>
          <w:b/>
          <w:bCs/>
        </w:rPr>
        <w:t>periode</w:t>
      </w:r>
      <w:r>
        <w:rPr>
          <w:b/>
          <w:bCs/>
        </w:rPr>
        <w:t xml:space="preserve"> SCE 2023</w:t>
      </w:r>
    </w:p>
    <w:p w14:paraId="1D53D716" w14:textId="77777777" w:rsidR="009F4DA5" w:rsidRDefault="00335B0C" w:rsidP="002365D0">
      <w:r w:rsidRPr="00AB31FF">
        <w:t xml:space="preserve">De openstelling van de SCE in 2023 vindt plaats van </w:t>
      </w:r>
      <w:r w:rsidR="00797F8C" w:rsidRPr="00AB31FF">
        <w:t>9 januari tot</w:t>
      </w:r>
      <w:r w:rsidRPr="00AB31FF">
        <w:t xml:space="preserve"> </w:t>
      </w:r>
      <w:r w:rsidR="001C5DFA">
        <w:t xml:space="preserve">en met </w:t>
      </w:r>
      <w:r w:rsidRPr="00AB31FF">
        <w:t>1</w:t>
      </w:r>
      <w:r w:rsidR="00413628">
        <w:t> </w:t>
      </w:r>
      <w:r w:rsidR="00936502">
        <w:t>november</w:t>
      </w:r>
      <w:r>
        <w:t xml:space="preserve"> 2023</w:t>
      </w:r>
      <w:r w:rsidR="00AB31FF" w:rsidRPr="00AB31FF">
        <w:t xml:space="preserve">. </w:t>
      </w:r>
      <w:r w:rsidRPr="009F4DA5">
        <w:t xml:space="preserve">Dit is opgenomen in het openstellingsbesluit </w:t>
      </w:r>
      <w:r w:rsidR="000027B0">
        <w:t xml:space="preserve">dat op korte termijn in de </w:t>
      </w:r>
      <w:r w:rsidRPr="009F4DA5">
        <w:t xml:space="preserve">Staatscourant </w:t>
      </w:r>
      <w:r w:rsidR="000027B0">
        <w:t xml:space="preserve">gepubliceerd wordt. </w:t>
      </w:r>
      <w:r w:rsidR="00500157">
        <w:t xml:space="preserve">Met deze vervroegde, lange openstelling krijgen </w:t>
      </w:r>
      <w:r>
        <w:t>aanvragers</w:t>
      </w:r>
      <w:r w:rsidR="00500157">
        <w:t xml:space="preserve"> voldoende tijd om hun aanvraag in te dienen. </w:t>
      </w:r>
    </w:p>
    <w:p w14:paraId="346F2C14" w14:textId="77777777" w:rsidR="009F4DA5" w:rsidRDefault="009F4DA5" w:rsidP="002365D0"/>
    <w:p w14:paraId="27FAC0E0" w14:textId="77777777" w:rsidR="009F4DA5" w:rsidRPr="009F4DA5" w:rsidRDefault="00335B0C" w:rsidP="002365D0">
      <w:pPr>
        <w:rPr>
          <w:b/>
          <w:bCs/>
        </w:rPr>
      </w:pPr>
      <w:r w:rsidRPr="009F4DA5">
        <w:rPr>
          <w:b/>
          <w:bCs/>
        </w:rPr>
        <w:lastRenderedPageBreak/>
        <w:t>Openstellingsbudget SCE 2023</w:t>
      </w:r>
    </w:p>
    <w:p w14:paraId="59C62166" w14:textId="77777777" w:rsidR="00D050FD" w:rsidRPr="00D050FD" w:rsidRDefault="00335B0C" w:rsidP="002365D0">
      <w:r>
        <w:t>I</w:t>
      </w:r>
      <w:r w:rsidR="00F92A6D">
        <w:t xml:space="preserve">k stel het </w:t>
      </w:r>
      <w:r>
        <w:t xml:space="preserve">openstellingsbudget voor de SCE 2023 vast op 150 miljoen euro. Dit is </w:t>
      </w:r>
      <w:r w:rsidR="00F92A6D">
        <w:t xml:space="preserve">aanzienlijk </w:t>
      </w:r>
      <w:r>
        <w:t xml:space="preserve">hoger dan de oorspronkelijk voorziene </w:t>
      </w:r>
      <w:r w:rsidR="00500157">
        <w:t>37 miljoen euro</w:t>
      </w:r>
      <w:r>
        <w:t>. Ik doe dit</w:t>
      </w:r>
      <w:r w:rsidR="00500157">
        <w:t xml:space="preserve"> zodat de coöperatieve energietransitie een impuls kan krijgen. In de huidige ronde van 2022 heeft R</w:t>
      </w:r>
      <w:r w:rsidR="00B64DE6">
        <w:t>ijksdienst voor Ondernemend Nederland (R</w:t>
      </w:r>
      <w:r w:rsidR="00500157">
        <w:t>VO</w:t>
      </w:r>
      <w:r w:rsidR="00B64DE6">
        <w:t>.nl)</w:t>
      </w:r>
      <w:r w:rsidR="00500157">
        <w:t xml:space="preserve"> geconstateerd dat het aantal aanvragen fors achterblijft bij de verwachting en potentie in de markt. </w:t>
      </w:r>
      <w:r w:rsidR="00F92A6D" w:rsidRPr="00F92A6D">
        <w:t xml:space="preserve">Dit is ook mijn beeld en het beeld van de </w:t>
      </w:r>
      <w:r w:rsidR="00F92A6D">
        <w:t>markt</w:t>
      </w:r>
      <w:r w:rsidR="00F92A6D" w:rsidRPr="00F92A6D">
        <w:t>.</w:t>
      </w:r>
      <w:r w:rsidR="00F92A6D">
        <w:t xml:space="preserve"> </w:t>
      </w:r>
      <w:r w:rsidR="00500157">
        <w:t>Daarom heb ik, in goed overleg met</w:t>
      </w:r>
      <w:r w:rsidR="00B64DE6">
        <w:t xml:space="preserve"> de minister van </w:t>
      </w:r>
      <w:r w:rsidR="00500157">
        <w:t xml:space="preserve">Financiën, besloten het openstellingsbudget voor 2023 te verruimen. Op deze manier is er voldoende budget beschikbaar voor projecten om tot realisatie te komen. </w:t>
      </w:r>
      <w:r w:rsidRPr="00D050FD">
        <w:t xml:space="preserve">De systematiek van de SCE lijkt zeer sterk op die van de SDE++. Door fluctuerende energieprijzen (grotendeels bepalend voor het correctiebedrag), onderproductie of uitval van sommige projecten </w:t>
      </w:r>
      <w:r>
        <w:t xml:space="preserve">zijn de uiteindelijke uitbetalingen door RVO vaak lager dan waar </w:t>
      </w:r>
      <w:r w:rsidR="00F92A6D">
        <w:t xml:space="preserve">maximaal </w:t>
      </w:r>
      <w:r>
        <w:t xml:space="preserve">vanuit </w:t>
      </w:r>
      <w:r w:rsidR="0007730A">
        <w:t xml:space="preserve">is </w:t>
      </w:r>
      <w:r>
        <w:t xml:space="preserve">gegaan </w:t>
      </w:r>
      <w:r w:rsidRPr="00D050FD">
        <w:t xml:space="preserve">bij de beschikking tot subsidieverlening. Dit leidt ertoe dat ik meer subsidieverplichtingen aan kan gaan dan waarvoor er kasmiddelen beschikbaar zijn. Deze systematiek heeft zich in de SDE++ bewezen en zorgt ervoor dat ik de beschikbare middelen doelmatiger kan </w:t>
      </w:r>
      <w:r w:rsidR="0007730A">
        <w:t>in</w:t>
      </w:r>
      <w:r w:rsidRPr="00D050FD">
        <w:t xml:space="preserve">zetten. </w:t>
      </w:r>
      <w:r w:rsidR="0007730A">
        <w:t xml:space="preserve">Door </w:t>
      </w:r>
      <w:r w:rsidRPr="00D050FD">
        <w:t xml:space="preserve">uw Kamer zijn in 2021 en 2022 amendementen aangenomen op de begroting van EZK van Sienot (D66) c.s. (Kamerstuk, 35570-XIII, nr. 12) en Boucke (D66) c.s. (Kamerstuk 35925-XIII, nr. 16) voor hogere openstellingsbudgetten. Met de beschreven ramingssystematiek voor de SCE en het openstellingsbudget van € 150 miljoen vertrouw ik erop dat ik met dit budget, dat </w:t>
      </w:r>
      <w:r w:rsidR="00F92A6D">
        <w:t>aanzienlijk hoger</w:t>
      </w:r>
      <w:r w:rsidRPr="00D050FD">
        <w:t xml:space="preserve"> is dan oorspronkelijk voorzien, </w:t>
      </w:r>
      <w:r w:rsidR="00565D2B">
        <w:t xml:space="preserve">aan </w:t>
      </w:r>
      <w:r w:rsidRPr="00D050FD">
        <w:t xml:space="preserve">de </w:t>
      </w:r>
      <w:r w:rsidR="00565D2B">
        <w:t>voorziene</w:t>
      </w:r>
      <w:r w:rsidR="00565D2B" w:rsidRPr="00D050FD">
        <w:t xml:space="preserve"> </w:t>
      </w:r>
      <w:r w:rsidRPr="00D050FD">
        <w:t xml:space="preserve">vraag vanuit de </w:t>
      </w:r>
      <w:r w:rsidR="002678E1">
        <w:t>doelgroep</w:t>
      </w:r>
      <w:r w:rsidRPr="00D050FD">
        <w:t xml:space="preserve"> toereikend kan </w:t>
      </w:r>
      <w:r w:rsidR="00565D2B">
        <w:t>voldoen</w:t>
      </w:r>
      <w:r w:rsidRPr="00D050FD">
        <w:t>.</w:t>
      </w:r>
    </w:p>
    <w:p w14:paraId="20FC1F99" w14:textId="77777777" w:rsidR="009F4DA5" w:rsidRDefault="009F4DA5" w:rsidP="002365D0"/>
    <w:p w14:paraId="0354E662" w14:textId="77777777" w:rsidR="009F4DA5" w:rsidRPr="009F4DA5" w:rsidRDefault="00335B0C" w:rsidP="002365D0">
      <w:pPr>
        <w:rPr>
          <w:b/>
          <w:bCs/>
        </w:rPr>
      </w:pPr>
      <w:r w:rsidRPr="009F4DA5">
        <w:rPr>
          <w:b/>
          <w:bCs/>
        </w:rPr>
        <w:t>Subsidietarieven SC</w:t>
      </w:r>
      <w:r>
        <w:rPr>
          <w:b/>
          <w:bCs/>
        </w:rPr>
        <w:t>E</w:t>
      </w:r>
      <w:r w:rsidRPr="009F4DA5">
        <w:rPr>
          <w:b/>
          <w:bCs/>
        </w:rPr>
        <w:t xml:space="preserve"> 2023</w:t>
      </w:r>
    </w:p>
    <w:p w14:paraId="6B17011C" w14:textId="77777777" w:rsidR="00D050FD" w:rsidRPr="00D050FD" w:rsidRDefault="00335B0C" w:rsidP="002365D0">
      <w:r w:rsidRPr="00D050FD">
        <w:t xml:space="preserve">De subsidietarieven voor de verschillende categorieën installaties, de zogeheten basisbedragen, stel ik vast in het openstellingsbesluit. De tarieven zijn gebaseerd op het </w:t>
      </w:r>
      <w:r w:rsidR="00C31FC7">
        <w:t>eind</w:t>
      </w:r>
      <w:r w:rsidRPr="00D050FD">
        <w:t>advies van het Planbureau voor Leefomgeving (PBL)</w:t>
      </w:r>
      <w:r w:rsidR="00C31FC7">
        <w:t xml:space="preserve"> voor de SCE 2023</w:t>
      </w:r>
      <w:r>
        <w:rPr>
          <w:rStyle w:val="Voetnootmarkering"/>
        </w:rPr>
        <w:footnoteReference w:id="1"/>
      </w:r>
      <w:r w:rsidRPr="00D050FD">
        <w:t>. Dit onafhankelijke advies ligt ten grondslag aan de gekozen subsidietarieven en categorieën installaties. De subsidietarieven zijn in 2023, ten opzichte van 2021 en 2022, als volgt:</w:t>
      </w:r>
    </w:p>
    <w:p w14:paraId="6C928243" w14:textId="77777777" w:rsidR="00500157" w:rsidRDefault="00500157" w:rsidP="002365D0"/>
    <w:p w14:paraId="4B9C3542" w14:textId="77777777" w:rsidR="00B6310C" w:rsidRPr="00B6310C" w:rsidRDefault="00335B0C" w:rsidP="002365D0">
      <w:pPr>
        <w:rPr>
          <w:u w:val="single"/>
        </w:rPr>
      </w:pPr>
      <w:r w:rsidRPr="00B6310C">
        <w:rPr>
          <w:u w:val="single"/>
        </w:rPr>
        <w:t>Tabel basisbedragen SCE 2021, 2022 en 2023</w:t>
      </w:r>
      <w:r w:rsidR="005E77AE">
        <w:rPr>
          <w:u w:val="single"/>
        </w:rPr>
        <w:t xml:space="preserve"> (bedragen in </w:t>
      </w:r>
      <w:r w:rsidR="00294CC9">
        <w:rPr>
          <w:u w:val="single"/>
        </w:rPr>
        <w:t>euro</w:t>
      </w:r>
      <w:r w:rsidR="005E77AE">
        <w:rPr>
          <w:u w:val="single"/>
        </w:rPr>
        <w:t>/kWh)</w:t>
      </w:r>
      <w:r w:rsidRPr="00B6310C">
        <w:rPr>
          <w:u w:val="single"/>
        </w:rPr>
        <w:t xml:space="preserve">. </w:t>
      </w:r>
    </w:p>
    <w:tbl>
      <w:tblPr>
        <w:tblStyle w:val="Tabelraster"/>
        <w:tblW w:w="7618" w:type="dxa"/>
        <w:tblLook w:val="04A0" w:firstRow="1" w:lastRow="0" w:firstColumn="1" w:lastColumn="0" w:noHBand="0" w:noVBand="1"/>
      </w:tblPr>
      <w:tblGrid>
        <w:gridCol w:w="4390"/>
        <w:gridCol w:w="1088"/>
        <w:gridCol w:w="1009"/>
        <w:gridCol w:w="1131"/>
      </w:tblGrid>
      <w:tr w:rsidR="00BF5C9C" w14:paraId="55FB0424" w14:textId="77777777" w:rsidTr="0082594C">
        <w:trPr>
          <w:trHeight w:val="214"/>
        </w:trPr>
        <w:tc>
          <w:tcPr>
            <w:tcW w:w="4390" w:type="dxa"/>
          </w:tcPr>
          <w:p w14:paraId="42B3F4A0" w14:textId="77777777" w:rsidR="00B6310C" w:rsidRPr="005E77AE" w:rsidRDefault="00335B0C" w:rsidP="002365D0">
            <w:pPr>
              <w:rPr>
                <w:b/>
                <w:bCs/>
              </w:rPr>
            </w:pPr>
            <w:bookmarkStart w:id="0" w:name="_Hlk118365610"/>
            <w:r w:rsidRPr="005E77AE">
              <w:rPr>
                <w:b/>
                <w:bCs/>
              </w:rPr>
              <w:t>Basisbedrag</w:t>
            </w:r>
          </w:p>
        </w:tc>
        <w:tc>
          <w:tcPr>
            <w:tcW w:w="1088" w:type="dxa"/>
          </w:tcPr>
          <w:p w14:paraId="0CBC7B30" w14:textId="77777777" w:rsidR="00B6310C" w:rsidRPr="005E77AE" w:rsidRDefault="00335B0C" w:rsidP="002365D0">
            <w:pPr>
              <w:rPr>
                <w:b/>
                <w:bCs/>
              </w:rPr>
            </w:pPr>
            <w:r w:rsidRPr="005E77AE">
              <w:rPr>
                <w:b/>
                <w:bCs/>
              </w:rPr>
              <w:t>2021</w:t>
            </w:r>
          </w:p>
        </w:tc>
        <w:tc>
          <w:tcPr>
            <w:tcW w:w="1009" w:type="dxa"/>
          </w:tcPr>
          <w:p w14:paraId="35CEAAD8" w14:textId="77777777" w:rsidR="00B6310C" w:rsidRPr="005E77AE" w:rsidRDefault="00335B0C" w:rsidP="002365D0">
            <w:pPr>
              <w:rPr>
                <w:b/>
                <w:bCs/>
              </w:rPr>
            </w:pPr>
            <w:r w:rsidRPr="005E77AE">
              <w:rPr>
                <w:b/>
                <w:bCs/>
              </w:rPr>
              <w:t>2022</w:t>
            </w:r>
          </w:p>
        </w:tc>
        <w:tc>
          <w:tcPr>
            <w:tcW w:w="1131" w:type="dxa"/>
          </w:tcPr>
          <w:p w14:paraId="547CE21B" w14:textId="77777777" w:rsidR="00B6310C" w:rsidRPr="005E77AE" w:rsidRDefault="00335B0C" w:rsidP="002365D0">
            <w:pPr>
              <w:rPr>
                <w:b/>
                <w:bCs/>
              </w:rPr>
            </w:pPr>
            <w:r w:rsidRPr="005E77AE">
              <w:rPr>
                <w:b/>
                <w:bCs/>
              </w:rPr>
              <w:t>2023</w:t>
            </w:r>
          </w:p>
        </w:tc>
      </w:tr>
      <w:tr w:rsidR="00BF5C9C" w14:paraId="2B443813" w14:textId="77777777" w:rsidTr="0082594C">
        <w:trPr>
          <w:trHeight w:val="416"/>
        </w:trPr>
        <w:tc>
          <w:tcPr>
            <w:tcW w:w="4390" w:type="dxa"/>
          </w:tcPr>
          <w:p w14:paraId="19DACD38" w14:textId="77777777" w:rsidR="00B6310C" w:rsidRPr="00134382" w:rsidRDefault="00335B0C" w:rsidP="002365D0">
            <w:r w:rsidRPr="00134382">
              <w:t>Fotovoltaïsche zonnepanelen, 60 kWp op kva (netlevering)</w:t>
            </w:r>
            <w:r w:rsidR="00134382" w:rsidRPr="00134382">
              <w:t xml:space="preserve"> (geen lager aansluitpercentage)</w:t>
            </w:r>
          </w:p>
        </w:tc>
        <w:tc>
          <w:tcPr>
            <w:tcW w:w="1088" w:type="dxa"/>
          </w:tcPr>
          <w:p w14:paraId="79FFA5A5" w14:textId="77777777" w:rsidR="00B6310C" w:rsidRPr="00B6310C" w:rsidRDefault="00335B0C" w:rsidP="002365D0">
            <w:r>
              <w:t>0,146</w:t>
            </w:r>
          </w:p>
        </w:tc>
        <w:tc>
          <w:tcPr>
            <w:tcW w:w="1009" w:type="dxa"/>
          </w:tcPr>
          <w:p w14:paraId="5F82B602" w14:textId="77777777" w:rsidR="00B6310C" w:rsidRPr="00B6310C" w:rsidRDefault="00335B0C" w:rsidP="002365D0">
            <w:r>
              <w:t>0,1239</w:t>
            </w:r>
          </w:p>
        </w:tc>
        <w:tc>
          <w:tcPr>
            <w:tcW w:w="1131" w:type="dxa"/>
          </w:tcPr>
          <w:p w14:paraId="348D495D" w14:textId="77777777" w:rsidR="00B6310C" w:rsidRPr="00B6310C" w:rsidRDefault="00335B0C" w:rsidP="002365D0">
            <w:pPr>
              <w:rPr>
                <w:highlight w:val="yellow"/>
              </w:rPr>
            </w:pPr>
            <w:r w:rsidRPr="00134382">
              <w:t>0,140</w:t>
            </w:r>
          </w:p>
        </w:tc>
      </w:tr>
      <w:tr w:rsidR="00BF5C9C" w14:paraId="05D99472" w14:textId="77777777" w:rsidTr="0082594C">
        <w:trPr>
          <w:trHeight w:val="214"/>
        </w:trPr>
        <w:tc>
          <w:tcPr>
            <w:tcW w:w="4390" w:type="dxa"/>
          </w:tcPr>
          <w:p w14:paraId="7327E8B9" w14:textId="77777777" w:rsidR="00B6310C" w:rsidRPr="00134382" w:rsidRDefault="00335B0C" w:rsidP="002365D0">
            <w:r w:rsidRPr="00134382">
              <w:t xml:space="preserve">Fotovoltaïsche zonnepanelen, </w:t>
            </w:r>
            <w:r w:rsidR="00134382" w:rsidRPr="00134382">
              <w:t>1</w:t>
            </w:r>
            <w:r w:rsidRPr="00134382">
              <w:t>50</w:t>
            </w:r>
            <w:r w:rsidR="00134382" w:rsidRPr="00134382">
              <w:t>*</w:t>
            </w:r>
            <w:r w:rsidRPr="00134382">
              <w:t xml:space="preserve"> kWp op gva (netlevering)</w:t>
            </w:r>
            <w:r w:rsidR="00134382" w:rsidRPr="00134382">
              <w:t xml:space="preserve"> (aansluiting op 50%)</w:t>
            </w:r>
          </w:p>
        </w:tc>
        <w:tc>
          <w:tcPr>
            <w:tcW w:w="1088" w:type="dxa"/>
          </w:tcPr>
          <w:p w14:paraId="5D17E768" w14:textId="77777777" w:rsidR="00B6310C" w:rsidRPr="00B6310C" w:rsidRDefault="00335B0C" w:rsidP="002365D0">
            <w:r>
              <w:t>0,121</w:t>
            </w:r>
          </w:p>
        </w:tc>
        <w:tc>
          <w:tcPr>
            <w:tcW w:w="1009" w:type="dxa"/>
          </w:tcPr>
          <w:p w14:paraId="791577B0" w14:textId="77777777" w:rsidR="00B6310C" w:rsidRPr="00B6310C" w:rsidRDefault="00335B0C" w:rsidP="002365D0">
            <w:r>
              <w:t>0,0960</w:t>
            </w:r>
          </w:p>
        </w:tc>
        <w:tc>
          <w:tcPr>
            <w:tcW w:w="1131" w:type="dxa"/>
          </w:tcPr>
          <w:p w14:paraId="479DA541" w14:textId="77777777" w:rsidR="00B6310C" w:rsidRPr="00134382" w:rsidRDefault="00335B0C" w:rsidP="002365D0">
            <w:r w:rsidRPr="00134382">
              <w:t>0,131</w:t>
            </w:r>
          </w:p>
        </w:tc>
      </w:tr>
      <w:tr w:rsidR="00BF5C9C" w14:paraId="7AB6496C" w14:textId="77777777" w:rsidTr="0082594C">
        <w:trPr>
          <w:trHeight w:val="201"/>
        </w:trPr>
        <w:tc>
          <w:tcPr>
            <w:tcW w:w="4390" w:type="dxa"/>
          </w:tcPr>
          <w:p w14:paraId="07208720" w14:textId="77777777" w:rsidR="00B6310C" w:rsidRPr="00134382" w:rsidRDefault="00335B0C" w:rsidP="002365D0">
            <w:r w:rsidRPr="00134382">
              <w:t xml:space="preserve">Fotovoltaïsche zonnepanelen, </w:t>
            </w:r>
            <w:r w:rsidR="00134382" w:rsidRPr="00134382">
              <w:t>1</w:t>
            </w:r>
            <w:r w:rsidRPr="00134382">
              <w:t>50</w:t>
            </w:r>
            <w:r w:rsidR="00134382" w:rsidRPr="00134382">
              <w:t>*</w:t>
            </w:r>
            <w:r w:rsidRPr="00134382">
              <w:t xml:space="preserve"> kWp op gva (niet-netlevering)</w:t>
            </w:r>
            <w:r w:rsidR="00134382">
              <w:t xml:space="preserve"> (aansluiting op 50%)</w:t>
            </w:r>
          </w:p>
        </w:tc>
        <w:tc>
          <w:tcPr>
            <w:tcW w:w="1088" w:type="dxa"/>
          </w:tcPr>
          <w:p w14:paraId="05EC8276" w14:textId="77777777" w:rsidR="00B6310C" w:rsidRPr="00B6310C" w:rsidRDefault="00335B0C" w:rsidP="002365D0">
            <w:r>
              <w:t>0,121</w:t>
            </w:r>
          </w:p>
        </w:tc>
        <w:tc>
          <w:tcPr>
            <w:tcW w:w="1009" w:type="dxa"/>
          </w:tcPr>
          <w:p w14:paraId="5D55A64F" w14:textId="77777777" w:rsidR="00B6310C" w:rsidRPr="00B6310C" w:rsidRDefault="00335B0C" w:rsidP="002365D0">
            <w:r>
              <w:t>0,0960</w:t>
            </w:r>
          </w:p>
        </w:tc>
        <w:tc>
          <w:tcPr>
            <w:tcW w:w="1131" w:type="dxa"/>
          </w:tcPr>
          <w:p w14:paraId="39D9FC71" w14:textId="77777777" w:rsidR="00B6310C" w:rsidRPr="00134382" w:rsidRDefault="00335B0C" w:rsidP="002365D0">
            <w:r>
              <w:t>0,131</w:t>
            </w:r>
          </w:p>
        </w:tc>
      </w:tr>
      <w:tr w:rsidR="00BF5C9C" w14:paraId="33A64F9A" w14:textId="77777777" w:rsidTr="0082594C">
        <w:trPr>
          <w:trHeight w:val="534"/>
        </w:trPr>
        <w:tc>
          <w:tcPr>
            <w:tcW w:w="4390" w:type="dxa"/>
          </w:tcPr>
          <w:p w14:paraId="3E2BB44A" w14:textId="77777777" w:rsidR="00B6310C" w:rsidRPr="00B6310C" w:rsidRDefault="00335B0C" w:rsidP="002365D0">
            <w:r w:rsidRPr="005E77AE">
              <w:t>Windenergie, 15 kW op kva</w:t>
            </w:r>
          </w:p>
        </w:tc>
        <w:tc>
          <w:tcPr>
            <w:tcW w:w="1088" w:type="dxa"/>
          </w:tcPr>
          <w:p w14:paraId="2DB03EB2" w14:textId="77777777" w:rsidR="00B6310C" w:rsidRPr="00B6310C" w:rsidRDefault="00335B0C" w:rsidP="002365D0">
            <w:r>
              <w:t>-</w:t>
            </w:r>
          </w:p>
        </w:tc>
        <w:tc>
          <w:tcPr>
            <w:tcW w:w="1009" w:type="dxa"/>
          </w:tcPr>
          <w:p w14:paraId="5D61F4E6" w14:textId="77777777" w:rsidR="00B6310C" w:rsidRPr="00F92A6D" w:rsidRDefault="00335B0C" w:rsidP="002365D0">
            <w:r w:rsidRPr="00F92A6D">
              <w:t>0,1132</w:t>
            </w:r>
          </w:p>
        </w:tc>
        <w:tc>
          <w:tcPr>
            <w:tcW w:w="1131" w:type="dxa"/>
          </w:tcPr>
          <w:p w14:paraId="11FD0B47" w14:textId="77777777" w:rsidR="00B6310C" w:rsidRPr="00F92A6D" w:rsidRDefault="00335B0C" w:rsidP="002365D0">
            <w:r w:rsidRPr="00F92A6D">
              <w:t>0,147</w:t>
            </w:r>
          </w:p>
        </w:tc>
      </w:tr>
      <w:tr w:rsidR="00BF5C9C" w14:paraId="520D3C5C" w14:textId="77777777" w:rsidTr="0082594C">
        <w:trPr>
          <w:trHeight w:val="201"/>
        </w:trPr>
        <w:tc>
          <w:tcPr>
            <w:tcW w:w="4390" w:type="dxa"/>
          </w:tcPr>
          <w:p w14:paraId="0E489240" w14:textId="77777777" w:rsidR="00134382" w:rsidRPr="00B6310C" w:rsidRDefault="00335B0C" w:rsidP="002365D0">
            <w:r w:rsidRPr="005E77AE">
              <w:t>Windenergie, 1 MW –  windsnelheid &gt;8,50 m/s op gva</w:t>
            </w:r>
          </w:p>
        </w:tc>
        <w:tc>
          <w:tcPr>
            <w:tcW w:w="1088" w:type="dxa"/>
          </w:tcPr>
          <w:p w14:paraId="111F69C9" w14:textId="77777777" w:rsidR="00134382" w:rsidRPr="00B6310C" w:rsidRDefault="00335B0C" w:rsidP="002365D0">
            <w:r>
              <w:t>0,079</w:t>
            </w:r>
          </w:p>
        </w:tc>
        <w:tc>
          <w:tcPr>
            <w:tcW w:w="1009" w:type="dxa"/>
          </w:tcPr>
          <w:p w14:paraId="7D29F0E6" w14:textId="77777777" w:rsidR="00134382" w:rsidRPr="00B6310C" w:rsidRDefault="00335B0C" w:rsidP="002365D0">
            <w:r>
              <w:t>0,0677</w:t>
            </w:r>
          </w:p>
        </w:tc>
        <w:tc>
          <w:tcPr>
            <w:tcW w:w="1131" w:type="dxa"/>
          </w:tcPr>
          <w:p w14:paraId="4D0BA030" w14:textId="77777777" w:rsidR="00134382" w:rsidRPr="00134382" w:rsidRDefault="00335B0C" w:rsidP="002365D0">
            <w:r w:rsidRPr="006D16C9">
              <w:t>0,091</w:t>
            </w:r>
          </w:p>
        </w:tc>
      </w:tr>
      <w:tr w:rsidR="00BF5C9C" w14:paraId="6BAAC067" w14:textId="77777777" w:rsidTr="0082594C">
        <w:trPr>
          <w:trHeight w:val="201"/>
        </w:trPr>
        <w:tc>
          <w:tcPr>
            <w:tcW w:w="4390" w:type="dxa"/>
          </w:tcPr>
          <w:p w14:paraId="60D176FA" w14:textId="77777777" w:rsidR="00134382" w:rsidRPr="005E77AE" w:rsidRDefault="00335B0C" w:rsidP="002365D0">
            <w:r w:rsidRPr="005E77AE">
              <w:t>Windenergie, 1 MW –  windsnelheid 8,00 - 8,50 m/s op gva</w:t>
            </w:r>
          </w:p>
        </w:tc>
        <w:tc>
          <w:tcPr>
            <w:tcW w:w="1088" w:type="dxa"/>
          </w:tcPr>
          <w:p w14:paraId="5ECE41B1" w14:textId="77777777" w:rsidR="00134382" w:rsidRPr="00B6310C" w:rsidRDefault="00335B0C" w:rsidP="002365D0">
            <w:r>
              <w:t>0,089</w:t>
            </w:r>
          </w:p>
        </w:tc>
        <w:tc>
          <w:tcPr>
            <w:tcW w:w="1009" w:type="dxa"/>
          </w:tcPr>
          <w:p w14:paraId="29BAFA38" w14:textId="77777777" w:rsidR="00134382" w:rsidRPr="00B6310C" w:rsidRDefault="00335B0C" w:rsidP="002365D0">
            <w:r>
              <w:t>0,0724</w:t>
            </w:r>
          </w:p>
        </w:tc>
        <w:tc>
          <w:tcPr>
            <w:tcW w:w="1131" w:type="dxa"/>
          </w:tcPr>
          <w:p w14:paraId="051E04CC" w14:textId="77777777" w:rsidR="00134382" w:rsidRPr="00134382" w:rsidRDefault="00335B0C" w:rsidP="002365D0">
            <w:r w:rsidRPr="006D16C9">
              <w:t>0,097</w:t>
            </w:r>
          </w:p>
        </w:tc>
      </w:tr>
      <w:tr w:rsidR="00BF5C9C" w14:paraId="644E1C90" w14:textId="77777777" w:rsidTr="0082594C">
        <w:trPr>
          <w:trHeight w:val="201"/>
        </w:trPr>
        <w:tc>
          <w:tcPr>
            <w:tcW w:w="4390" w:type="dxa"/>
          </w:tcPr>
          <w:p w14:paraId="10A41566" w14:textId="77777777" w:rsidR="00134382" w:rsidRPr="005E77AE" w:rsidRDefault="00335B0C" w:rsidP="002365D0">
            <w:r w:rsidRPr="005E77AE">
              <w:lastRenderedPageBreak/>
              <w:t>Windenergie, 1 MW –  windsnelheid 7,50 - 8,00 m/s op gva</w:t>
            </w:r>
          </w:p>
        </w:tc>
        <w:tc>
          <w:tcPr>
            <w:tcW w:w="1088" w:type="dxa"/>
          </w:tcPr>
          <w:p w14:paraId="01D5A5C7" w14:textId="77777777" w:rsidR="00134382" w:rsidRPr="00B6310C" w:rsidRDefault="00335B0C" w:rsidP="002365D0">
            <w:r>
              <w:t>0,096</w:t>
            </w:r>
          </w:p>
        </w:tc>
        <w:tc>
          <w:tcPr>
            <w:tcW w:w="1009" w:type="dxa"/>
          </w:tcPr>
          <w:p w14:paraId="7C456DD9" w14:textId="77777777" w:rsidR="00134382" w:rsidRPr="00B6310C" w:rsidRDefault="00335B0C" w:rsidP="002365D0">
            <w:r>
              <w:t>0,0825</w:t>
            </w:r>
          </w:p>
        </w:tc>
        <w:tc>
          <w:tcPr>
            <w:tcW w:w="1131" w:type="dxa"/>
          </w:tcPr>
          <w:p w14:paraId="0E9424A2" w14:textId="77777777" w:rsidR="00134382" w:rsidRPr="00134382" w:rsidRDefault="00335B0C" w:rsidP="002365D0">
            <w:r w:rsidRPr="006D16C9">
              <w:t>0,112</w:t>
            </w:r>
          </w:p>
        </w:tc>
      </w:tr>
      <w:tr w:rsidR="00BF5C9C" w14:paraId="59229111" w14:textId="77777777" w:rsidTr="0082594C">
        <w:trPr>
          <w:trHeight w:val="201"/>
        </w:trPr>
        <w:tc>
          <w:tcPr>
            <w:tcW w:w="4390" w:type="dxa"/>
          </w:tcPr>
          <w:p w14:paraId="23AAA59E" w14:textId="77777777" w:rsidR="00134382" w:rsidRPr="005E77AE" w:rsidRDefault="00335B0C" w:rsidP="002365D0">
            <w:r w:rsidRPr="005E77AE">
              <w:t>Windenergie, 1 MW –  windsnelheid 7,00 - 7,50 m/s op gva</w:t>
            </w:r>
          </w:p>
        </w:tc>
        <w:tc>
          <w:tcPr>
            <w:tcW w:w="1088" w:type="dxa"/>
          </w:tcPr>
          <w:p w14:paraId="64A0680D" w14:textId="77777777" w:rsidR="00134382" w:rsidRPr="00B6310C" w:rsidRDefault="00335B0C" w:rsidP="002365D0">
            <w:r>
              <w:t>0,101</w:t>
            </w:r>
          </w:p>
        </w:tc>
        <w:tc>
          <w:tcPr>
            <w:tcW w:w="1009" w:type="dxa"/>
          </w:tcPr>
          <w:p w14:paraId="78C4A9C3" w14:textId="77777777" w:rsidR="00134382" w:rsidRPr="00B6310C" w:rsidRDefault="00335B0C" w:rsidP="002365D0">
            <w:r>
              <w:t>0,0877</w:t>
            </w:r>
          </w:p>
        </w:tc>
        <w:tc>
          <w:tcPr>
            <w:tcW w:w="1131" w:type="dxa"/>
          </w:tcPr>
          <w:p w14:paraId="2BB1A563" w14:textId="77777777" w:rsidR="00134382" w:rsidRPr="00134382" w:rsidRDefault="00335B0C" w:rsidP="002365D0">
            <w:r w:rsidRPr="006D16C9">
              <w:t>0,120</w:t>
            </w:r>
          </w:p>
        </w:tc>
      </w:tr>
      <w:tr w:rsidR="00BF5C9C" w14:paraId="06A8F91C" w14:textId="77777777" w:rsidTr="0082594C">
        <w:trPr>
          <w:trHeight w:val="201"/>
        </w:trPr>
        <w:tc>
          <w:tcPr>
            <w:tcW w:w="4390" w:type="dxa"/>
          </w:tcPr>
          <w:p w14:paraId="1E242BAB" w14:textId="77777777" w:rsidR="00134382" w:rsidRPr="005E77AE" w:rsidRDefault="00335B0C" w:rsidP="002365D0">
            <w:r w:rsidRPr="005E77AE">
              <w:t>Windenergie, 1 MW –  windsnelheid 6,75 - 7,00 m/s op gva</w:t>
            </w:r>
          </w:p>
        </w:tc>
        <w:tc>
          <w:tcPr>
            <w:tcW w:w="1088" w:type="dxa"/>
          </w:tcPr>
          <w:p w14:paraId="6CAC0793" w14:textId="77777777" w:rsidR="00134382" w:rsidRPr="00B6310C" w:rsidRDefault="00335B0C" w:rsidP="002365D0">
            <w:r>
              <w:t>0,107</w:t>
            </w:r>
          </w:p>
        </w:tc>
        <w:tc>
          <w:tcPr>
            <w:tcW w:w="1009" w:type="dxa"/>
          </w:tcPr>
          <w:p w14:paraId="1EAB850C" w14:textId="77777777" w:rsidR="00134382" w:rsidRPr="00B6310C" w:rsidRDefault="00335B0C" w:rsidP="002365D0">
            <w:r>
              <w:t>0,0938</w:t>
            </w:r>
          </w:p>
        </w:tc>
        <w:tc>
          <w:tcPr>
            <w:tcW w:w="1131" w:type="dxa"/>
          </w:tcPr>
          <w:p w14:paraId="351BCD8A" w14:textId="77777777" w:rsidR="00134382" w:rsidRPr="00134382" w:rsidRDefault="00335B0C" w:rsidP="002365D0">
            <w:r w:rsidRPr="006D16C9">
              <w:t>0,129</w:t>
            </w:r>
          </w:p>
        </w:tc>
      </w:tr>
      <w:tr w:rsidR="00BF5C9C" w14:paraId="54D54659" w14:textId="77777777" w:rsidTr="0082594C">
        <w:trPr>
          <w:trHeight w:val="201"/>
        </w:trPr>
        <w:tc>
          <w:tcPr>
            <w:tcW w:w="4390" w:type="dxa"/>
          </w:tcPr>
          <w:p w14:paraId="1B694FB6" w14:textId="77777777" w:rsidR="00134382" w:rsidRPr="00B6310C" w:rsidRDefault="00335B0C" w:rsidP="002365D0">
            <w:r w:rsidRPr="005E77AE">
              <w:t>Windenergie, 1 MW –  windsnelheid &lt;6,75 m/s op gva</w:t>
            </w:r>
          </w:p>
        </w:tc>
        <w:tc>
          <w:tcPr>
            <w:tcW w:w="1088" w:type="dxa"/>
          </w:tcPr>
          <w:p w14:paraId="3223B6DC" w14:textId="77777777" w:rsidR="00134382" w:rsidRPr="00B6310C" w:rsidRDefault="00335B0C" w:rsidP="002365D0">
            <w:r>
              <w:t>0,112</w:t>
            </w:r>
          </w:p>
        </w:tc>
        <w:tc>
          <w:tcPr>
            <w:tcW w:w="1009" w:type="dxa"/>
          </w:tcPr>
          <w:p w14:paraId="1F2AE32D" w14:textId="77777777" w:rsidR="00134382" w:rsidRPr="00B6310C" w:rsidRDefault="00335B0C" w:rsidP="002365D0">
            <w:r>
              <w:t>0,1004</w:t>
            </w:r>
          </w:p>
        </w:tc>
        <w:tc>
          <w:tcPr>
            <w:tcW w:w="1131" w:type="dxa"/>
          </w:tcPr>
          <w:p w14:paraId="4B59F33D" w14:textId="77777777" w:rsidR="00134382" w:rsidRPr="00134382" w:rsidRDefault="00335B0C" w:rsidP="002365D0">
            <w:r w:rsidRPr="00F92A6D">
              <w:t>0,138</w:t>
            </w:r>
          </w:p>
        </w:tc>
      </w:tr>
      <w:tr w:rsidR="00BF5C9C" w14:paraId="02A98A53" w14:textId="77777777" w:rsidTr="0082594C">
        <w:trPr>
          <w:trHeight w:val="467"/>
        </w:trPr>
        <w:tc>
          <w:tcPr>
            <w:tcW w:w="4390" w:type="dxa"/>
          </w:tcPr>
          <w:p w14:paraId="14F8A059" w14:textId="77777777" w:rsidR="00B6310C" w:rsidRDefault="00335B0C" w:rsidP="002365D0">
            <w:r w:rsidRPr="005E77AE">
              <w:t>Waterkracht, 50 kW</w:t>
            </w:r>
          </w:p>
        </w:tc>
        <w:tc>
          <w:tcPr>
            <w:tcW w:w="1088" w:type="dxa"/>
          </w:tcPr>
          <w:p w14:paraId="212C2BE8" w14:textId="77777777" w:rsidR="00B6310C" w:rsidRPr="00B6310C" w:rsidRDefault="00335B0C" w:rsidP="002365D0">
            <w:r>
              <w:t>0,126</w:t>
            </w:r>
          </w:p>
        </w:tc>
        <w:tc>
          <w:tcPr>
            <w:tcW w:w="1009" w:type="dxa"/>
          </w:tcPr>
          <w:p w14:paraId="369D3840" w14:textId="77777777" w:rsidR="00B6310C" w:rsidRPr="00B6310C" w:rsidRDefault="00335B0C" w:rsidP="002365D0">
            <w:r>
              <w:t>0,1344</w:t>
            </w:r>
          </w:p>
        </w:tc>
        <w:tc>
          <w:tcPr>
            <w:tcW w:w="1131" w:type="dxa"/>
          </w:tcPr>
          <w:p w14:paraId="4883C857" w14:textId="77777777" w:rsidR="00B6310C" w:rsidRPr="00134382" w:rsidRDefault="00335B0C" w:rsidP="002365D0">
            <w:r>
              <w:t>0,171</w:t>
            </w:r>
          </w:p>
        </w:tc>
      </w:tr>
    </w:tbl>
    <w:bookmarkEnd w:id="0"/>
    <w:p w14:paraId="3D2C4807" w14:textId="77777777" w:rsidR="00500157" w:rsidRDefault="00335B0C" w:rsidP="002365D0">
      <w:pPr>
        <w:rPr>
          <w:i/>
          <w:iCs/>
          <w:sz w:val="16"/>
          <w:szCs w:val="16"/>
        </w:rPr>
      </w:pPr>
      <w:r w:rsidRPr="00B6310C">
        <w:rPr>
          <w:i/>
          <w:iCs/>
          <w:sz w:val="16"/>
          <w:szCs w:val="22"/>
        </w:rPr>
        <w:t>Bron</w:t>
      </w:r>
      <w:r w:rsidRPr="00B6310C">
        <w:rPr>
          <w:i/>
          <w:iCs/>
          <w:sz w:val="16"/>
          <w:szCs w:val="16"/>
        </w:rPr>
        <w:t>: Eindadvies SCE 2022 en 2023, Planbureau voor de Leefomgeving</w:t>
      </w:r>
    </w:p>
    <w:p w14:paraId="66D3FF06" w14:textId="77777777" w:rsidR="005E77AE" w:rsidRDefault="00335B0C" w:rsidP="002365D0">
      <w:pPr>
        <w:rPr>
          <w:i/>
          <w:iCs/>
          <w:sz w:val="16"/>
          <w:szCs w:val="16"/>
        </w:rPr>
      </w:pPr>
      <w:bookmarkStart w:id="1" w:name="_Hlk118366499"/>
      <w:r>
        <w:rPr>
          <w:i/>
          <w:iCs/>
          <w:sz w:val="16"/>
          <w:szCs w:val="16"/>
        </w:rPr>
        <w:t>kva-= kleinverbruikaansluiting</w:t>
      </w:r>
    </w:p>
    <w:p w14:paraId="6DEB68C9" w14:textId="77777777" w:rsidR="005E77AE" w:rsidRPr="00B6310C" w:rsidRDefault="00335B0C" w:rsidP="002365D0">
      <w:pPr>
        <w:rPr>
          <w:i/>
          <w:iCs/>
          <w:sz w:val="16"/>
          <w:szCs w:val="16"/>
        </w:rPr>
      </w:pPr>
      <w:r>
        <w:rPr>
          <w:i/>
          <w:iCs/>
          <w:sz w:val="16"/>
          <w:szCs w:val="16"/>
        </w:rPr>
        <w:t xml:space="preserve">gva= grootverbruikaansluiting </w:t>
      </w:r>
    </w:p>
    <w:p w14:paraId="7B1FDE87" w14:textId="77777777" w:rsidR="00B6310C" w:rsidRPr="00B6310C" w:rsidRDefault="00335B0C" w:rsidP="002365D0">
      <w:pPr>
        <w:rPr>
          <w:i/>
          <w:iCs/>
          <w:sz w:val="16"/>
          <w:szCs w:val="16"/>
        </w:rPr>
      </w:pPr>
      <w:r w:rsidRPr="00B6310C">
        <w:rPr>
          <w:i/>
          <w:iCs/>
          <w:sz w:val="16"/>
          <w:szCs w:val="16"/>
        </w:rPr>
        <w:t>*</w:t>
      </w:r>
      <w:r w:rsidR="00134382">
        <w:rPr>
          <w:i/>
          <w:iCs/>
          <w:sz w:val="16"/>
          <w:szCs w:val="16"/>
        </w:rPr>
        <w:t xml:space="preserve">in 2021 referentie 150 kWp, in 2022 250 kWp, in 2023 150 kWp. </w:t>
      </w:r>
      <w:r w:rsidRPr="00B6310C">
        <w:rPr>
          <w:i/>
          <w:iCs/>
          <w:sz w:val="16"/>
          <w:szCs w:val="16"/>
        </w:rPr>
        <w:t xml:space="preserve"> </w:t>
      </w:r>
    </w:p>
    <w:bookmarkEnd w:id="1"/>
    <w:p w14:paraId="10A8D675" w14:textId="77777777" w:rsidR="00500157" w:rsidRDefault="00500157" w:rsidP="002365D0"/>
    <w:p w14:paraId="38381242" w14:textId="77777777" w:rsidR="00D050FD" w:rsidRPr="00294CC9" w:rsidRDefault="00335B0C" w:rsidP="002365D0">
      <w:pPr>
        <w:rPr>
          <w:b/>
          <w:bCs/>
        </w:rPr>
      </w:pPr>
      <w:r w:rsidRPr="00294CC9">
        <w:rPr>
          <w:b/>
          <w:bCs/>
        </w:rPr>
        <w:t xml:space="preserve">Wijzigingen in de </w:t>
      </w:r>
      <w:r>
        <w:rPr>
          <w:b/>
          <w:bCs/>
        </w:rPr>
        <w:t>SCE 2023</w:t>
      </w:r>
      <w:r w:rsidRPr="00294CC9">
        <w:rPr>
          <w:b/>
          <w:bCs/>
        </w:rPr>
        <w:t xml:space="preserve"> </w:t>
      </w:r>
    </w:p>
    <w:p w14:paraId="5A2139F4" w14:textId="77777777" w:rsidR="000D6D2B" w:rsidRDefault="00335B0C" w:rsidP="002365D0">
      <w:r>
        <w:t>Verder heb ik in de regeling voor volgend jaar enkele wijzigingen aangebracht, die beter passen bij de situatie in de praktijk</w:t>
      </w:r>
      <w:r w:rsidR="00B6310C">
        <w:t xml:space="preserve">, die de urgente problemen in de energietransitie aanpakken (zoals uitval van projecten en congestie op het elektriciteitsnet) </w:t>
      </w:r>
      <w:r>
        <w:t>en die het coöperaties en VvE’s gemakkelijker ma</w:t>
      </w:r>
      <w:r w:rsidR="00B132E2">
        <w:t>ken</w:t>
      </w:r>
      <w:r>
        <w:t xml:space="preserve"> om succesvol deel te nemen aan de subsidieregeling. </w:t>
      </w:r>
      <w:r w:rsidR="001C5DFA">
        <w:t>Deze wijzigingen zijn beschreven in de wijzigingsregeling</w:t>
      </w:r>
      <w:r w:rsidR="000027B0">
        <w:t xml:space="preserve">, die op korte termijn in de </w:t>
      </w:r>
      <w:r w:rsidR="001C5DFA">
        <w:t xml:space="preserve">Staatscourant </w:t>
      </w:r>
      <w:r w:rsidR="000027B0">
        <w:t>gepubliceerd wordt.</w:t>
      </w:r>
      <w:r w:rsidR="001C5DFA">
        <w:t xml:space="preserve"> </w:t>
      </w:r>
      <w:r>
        <w:t xml:space="preserve">Coöperaties die nog dit jaar een aanvraag willen indienen tegen de subsidietarieven voor 2022 kunnen dit tot </w:t>
      </w:r>
      <w:r w:rsidR="001C5DFA">
        <w:t xml:space="preserve">en met </w:t>
      </w:r>
      <w:r>
        <w:t xml:space="preserve">1 december van dit jaar doen bij RVO. Ik zal uw Kamer na afronding van de subsidieronde van 2022 en verwerking van de aanvragen door RVO informeren over de uitkomst ervan. </w:t>
      </w:r>
    </w:p>
    <w:p w14:paraId="47B92686" w14:textId="77777777" w:rsidR="00797F8C" w:rsidRPr="00797F8C" w:rsidRDefault="00797F8C" w:rsidP="002365D0">
      <w:pPr>
        <w:rPr>
          <w:highlight w:val="yellow"/>
        </w:rPr>
      </w:pPr>
    </w:p>
    <w:p w14:paraId="2507B733" w14:textId="77777777" w:rsidR="00D050FD" w:rsidRPr="00D050FD" w:rsidRDefault="00335B0C" w:rsidP="002365D0">
      <w:r w:rsidRPr="00D050FD">
        <w:t xml:space="preserve">Op basis van de ervaringen met de openstellingen van de SCE in 2021 en 2022 zijn enkele wijzigingen naar voren gekomen, die nodig zijn om de SCE beter te laten aansluiten op de praktijk. Het gaat om </w:t>
      </w:r>
      <w:r w:rsidR="00F92A6D">
        <w:t xml:space="preserve">aanpassingen </w:t>
      </w:r>
      <w:r w:rsidRPr="00D050FD">
        <w:t>van enkele eisen, die het zowel energiecoöperaties als VvE’s gemakkelijker maken om deel te nemen aan de regeling. Dit is nodig omdat het in de SCE vaak vrijwilligers zijn namens de coöperatie of de VvE die de subsidie aanvragen. Ook</w:t>
      </w:r>
      <w:r w:rsidR="00F92A6D">
        <w:t xml:space="preserve"> vraagt</w:t>
      </w:r>
      <w:r w:rsidRPr="00D050FD">
        <w:t xml:space="preserve"> realisatie van een project goede afstemming met de eigenaar van bijvoorbeeld het dak, de andere deelnemers in de VvE, of de leden van de coöperatie. Tevens tref ik maatregelen om in te spelen op de grootste uitdagingen voor de </w:t>
      </w:r>
      <w:r w:rsidR="00F92A6D">
        <w:t xml:space="preserve">coöperatieve </w:t>
      </w:r>
      <w:r w:rsidRPr="00D050FD">
        <w:t>energietransitie</w:t>
      </w:r>
      <w:r w:rsidR="00F92A6D">
        <w:t xml:space="preserve">. </w:t>
      </w:r>
      <w:r w:rsidRPr="00D050FD">
        <w:t xml:space="preserve">In het geval van de SCE zijn dat met name </w:t>
      </w:r>
      <w:r w:rsidR="00F92A6D">
        <w:t>non-realisatie</w:t>
      </w:r>
      <w:r w:rsidRPr="00D050FD">
        <w:t xml:space="preserve"> van projecten vanwege een ontoereikende dakconstructie </w:t>
      </w:r>
      <w:r w:rsidR="00936502">
        <w:t>of terugtrekking van de dakeigenaar</w:t>
      </w:r>
      <w:r w:rsidR="00565D2B">
        <w:t>,</w:t>
      </w:r>
      <w:r w:rsidR="00936502">
        <w:t xml:space="preserve"> </w:t>
      </w:r>
      <w:r w:rsidRPr="00D050FD">
        <w:t xml:space="preserve">en congestie op het elektriciteitsnet. Beide zorgen ervoor dat er uiteindelijk minder projecten gerealiseerd worden en er minder hernieuwbare elektriciteit wordt opgewekt. Ik ga hieronder puntsgewijs in op de wijzigingen. </w:t>
      </w:r>
    </w:p>
    <w:p w14:paraId="340BF52C" w14:textId="77777777" w:rsidR="000B50D3" w:rsidRPr="000B50D3" w:rsidRDefault="000B50D3" w:rsidP="002365D0">
      <w:pPr>
        <w:rPr>
          <w:i/>
          <w:iCs/>
        </w:rPr>
      </w:pPr>
    </w:p>
    <w:p w14:paraId="49C96410" w14:textId="77777777" w:rsidR="00294CC9" w:rsidRPr="000B50D3" w:rsidRDefault="00335B0C" w:rsidP="002365D0">
      <w:pPr>
        <w:rPr>
          <w:i/>
          <w:iCs/>
        </w:rPr>
      </w:pPr>
      <w:r>
        <w:rPr>
          <w:i/>
          <w:iCs/>
        </w:rPr>
        <w:t>Verlenging t</w:t>
      </w:r>
      <w:r w:rsidRPr="000B50D3">
        <w:rPr>
          <w:i/>
          <w:iCs/>
        </w:rPr>
        <w:t xml:space="preserve">ermijn voor aanleveren ledenlijst en recht van opstal   </w:t>
      </w:r>
    </w:p>
    <w:p w14:paraId="4E1093CD" w14:textId="77777777" w:rsidR="00142CB0" w:rsidRPr="00142CB0" w:rsidRDefault="00335B0C" w:rsidP="002365D0">
      <w:bookmarkStart w:id="2" w:name="_Hlk117763688"/>
      <w:r>
        <w:t>Ik verleng</w:t>
      </w:r>
      <w:r w:rsidRPr="00F92A6D">
        <w:t xml:space="preserve"> de termijn voor het aanleveren van de ledenlijst voor zowel coöperaties als VvE’s naar twaalf maanden. De termijn voor het aanleveren van het recht van </w:t>
      </w:r>
      <w:r w:rsidRPr="00F92A6D">
        <w:lastRenderedPageBreak/>
        <w:t>opstal verleng ik eveneens naar twaalf maanden, omdat het verkrijgen hiervan zoals gezegd voor coöperaties qua proces door het ledenwerven heenloopt, wat niet bevorderlijk is voor het realisatieproces</w:t>
      </w:r>
      <w:r>
        <w:t xml:space="preserve">. </w:t>
      </w:r>
      <w:r w:rsidRPr="00142CB0">
        <w:t xml:space="preserve">Op dit moment hebben coöperaties zes maanden na subsidieverlening de tijd om bij RVO een complete lijst aan te leveren van de deelnemende leden. VvE’s dienen bij het indienen van aanvraag de ledenlijst te overleggen. In de praktijk blijkt de termijn van zes maanden voor veel coöperaties te krap. Zij moeten vaak nog </w:t>
      </w:r>
      <w:r w:rsidR="00936502" w:rsidRPr="00936502">
        <w:t>veel regelen, financiering rond krijgen, bijeenkomsten organisere</w:t>
      </w:r>
      <w:r w:rsidR="00936502">
        <w:t>n en overeenkomst over het te gebruiken dak vinden. D</w:t>
      </w:r>
      <w:r w:rsidRPr="00142CB0">
        <w:t xml:space="preserve">e facto </w:t>
      </w:r>
      <w:r w:rsidR="00936502">
        <w:t xml:space="preserve">kunnen zij </w:t>
      </w:r>
      <w:r w:rsidRPr="00142CB0">
        <w:t xml:space="preserve">daarna pas beginnen met leden werven. VvE’s bij nieuwbouw ervaren problemen omdat zij soms al wel een aanvraag willen doen voor het op te leveren nieuwbouwpand, maar de ledenlijst nog niet compleet is omdat het pand nog niet opgeleverd is en de toekomstige bewoners er nog niet hun intrek hebben genomen. </w:t>
      </w:r>
      <w:bookmarkEnd w:id="2"/>
      <w:r w:rsidRPr="00142CB0">
        <w:t xml:space="preserve">Het staat aanvragers uiteraard altijd vrij, indien zij dat kunnen, om de benodigde documenten eerder aan te leveren om hun project zo sneller te kunnen realiseren.   </w:t>
      </w:r>
    </w:p>
    <w:p w14:paraId="6D02FF14" w14:textId="77777777" w:rsidR="00294CC9" w:rsidRDefault="00294CC9" w:rsidP="002365D0"/>
    <w:p w14:paraId="270099C7" w14:textId="77777777" w:rsidR="00532BB8" w:rsidRPr="000B50D3" w:rsidRDefault="00335B0C" w:rsidP="002365D0">
      <w:pPr>
        <w:rPr>
          <w:i/>
          <w:iCs/>
        </w:rPr>
      </w:pPr>
      <w:r w:rsidRPr="000B50D3">
        <w:rPr>
          <w:i/>
          <w:iCs/>
        </w:rPr>
        <w:t xml:space="preserve">Verlaging eis </w:t>
      </w:r>
      <w:r w:rsidR="00142CB0">
        <w:rPr>
          <w:i/>
          <w:iCs/>
        </w:rPr>
        <w:t xml:space="preserve">percentage VvE-leden in </w:t>
      </w:r>
      <w:r w:rsidRPr="000B50D3">
        <w:rPr>
          <w:i/>
          <w:iCs/>
        </w:rPr>
        <w:t>de postcoderoos</w:t>
      </w:r>
    </w:p>
    <w:p w14:paraId="5D183657" w14:textId="77777777" w:rsidR="00532BB8" w:rsidRDefault="00335B0C" w:rsidP="002365D0">
      <w:bookmarkStart w:id="3" w:name="_Hlk117764050"/>
      <w:r>
        <w:t xml:space="preserve">Op dit moment moet van een </w:t>
      </w:r>
      <w:r w:rsidR="00394730">
        <w:t>VvE</w:t>
      </w:r>
      <w:r>
        <w:t xml:space="preserve"> tenminste 90% van de leden in de zogeheten postcoderoos wonen. </w:t>
      </w:r>
      <w:r w:rsidR="009C440D">
        <w:t xml:space="preserve">Deze eis verlaag ik van 90% naar 75%. De postcoderoos is </w:t>
      </w:r>
      <w:r>
        <w:t xml:space="preserve">het gebied van een postcode van vier </w:t>
      </w:r>
      <w:r w:rsidR="000075DD">
        <w:t>cijfer</w:t>
      </w:r>
      <w:r>
        <w:t>s (de roos)</w:t>
      </w:r>
      <w:r w:rsidR="007E79B6">
        <w:t xml:space="preserve">, </w:t>
      </w:r>
      <w:r>
        <w:t>inclusief de aangrenzende postcodegebieden (de blaadjes van de roos). Deze eis bestaat om de lokaliteit van het project te waarborgen. Immers</w:t>
      </w:r>
      <w:r w:rsidR="00394730">
        <w:t xml:space="preserve">, </w:t>
      </w:r>
      <w:r>
        <w:t xml:space="preserve">de SCE </w:t>
      </w:r>
      <w:r w:rsidR="00394730">
        <w:t xml:space="preserve">is </w:t>
      </w:r>
      <w:r>
        <w:t xml:space="preserve">gericht op lokale, kleinschalige projecten van burgers uit dezelfde buurt. In de praktijk blijkt dat een aantal </w:t>
      </w:r>
      <w:r w:rsidR="00394730">
        <w:t>VvE’s</w:t>
      </w:r>
      <w:r>
        <w:t xml:space="preserve"> niet mee kan doen in de regeling, omdat zij net niet kunnen voldoen aan deze eis van 90</w:t>
      </w:r>
      <w:r w:rsidR="00394730">
        <w:t xml:space="preserve">%. </w:t>
      </w:r>
      <w:r w:rsidR="00394730" w:rsidRPr="00394730">
        <w:t>Bijvoorbeeld omdat een deel van de huiseigenaren twee woningen heeft en elders woont, maar de woning in de VvE verhuurt. Regelmatig woont zo meer dan 10% van de leden van de VvE buiten het postcodegebied.</w:t>
      </w:r>
      <w:r w:rsidR="00394730">
        <w:t xml:space="preserve"> </w:t>
      </w:r>
      <w:r>
        <w:t xml:space="preserve">Hoewel ik lokaliteit een belangrijk aspect van deze regeling vind, betrek ik deze </w:t>
      </w:r>
      <w:r w:rsidR="00394730">
        <w:t>VvE’s</w:t>
      </w:r>
      <w:r>
        <w:t xml:space="preserve"> graag bij de energietransitie. </w:t>
      </w:r>
      <w:r w:rsidR="009C440D">
        <w:t>M</w:t>
      </w:r>
      <w:r>
        <w:t xml:space="preserve">et </w:t>
      </w:r>
      <w:r w:rsidR="009C440D">
        <w:t>de eis</w:t>
      </w:r>
      <w:r>
        <w:t xml:space="preserve"> </w:t>
      </w:r>
      <w:r w:rsidR="009C440D">
        <w:t xml:space="preserve">van 75% </w:t>
      </w:r>
      <w:r>
        <w:t xml:space="preserve">komt nog steeds het overgrote deel van de leden van de deelnemende </w:t>
      </w:r>
      <w:r w:rsidR="00394730">
        <w:t>VvE</w:t>
      </w:r>
      <w:r>
        <w:t xml:space="preserve"> uit de buurt</w:t>
      </w:r>
      <w:r w:rsidR="004A2FAA">
        <w:t xml:space="preserve"> en wordt het aspect van de lokaliteit nog steeds gewaarborgd,</w:t>
      </w:r>
      <w:r>
        <w:t xml:space="preserve"> terwijl er wel ruimte is om meer projecten van de grond te krijgen. </w:t>
      </w:r>
    </w:p>
    <w:bookmarkEnd w:id="3"/>
    <w:p w14:paraId="04E999A6" w14:textId="77777777" w:rsidR="00532BB8" w:rsidRDefault="00532BB8" w:rsidP="002365D0">
      <w:pPr>
        <w:rPr>
          <w:i/>
          <w:iCs/>
        </w:rPr>
      </w:pPr>
    </w:p>
    <w:p w14:paraId="10B83A51" w14:textId="77777777" w:rsidR="000B50D3" w:rsidRPr="000B50D3" w:rsidRDefault="00335B0C" w:rsidP="002365D0">
      <w:pPr>
        <w:rPr>
          <w:i/>
          <w:iCs/>
        </w:rPr>
      </w:pPr>
      <w:r>
        <w:rPr>
          <w:i/>
          <w:iCs/>
        </w:rPr>
        <w:t>Verlaging k</w:t>
      </w:r>
      <w:r w:rsidRPr="000B50D3">
        <w:rPr>
          <w:i/>
          <w:iCs/>
        </w:rPr>
        <w:t xml:space="preserve">leinverbruikerseis in VvE’s </w:t>
      </w:r>
    </w:p>
    <w:p w14:paraId="06A1F412" w14:textId="77777777" w:rsidR="00294CC9" w:rsidRDefault="00335B0C" w:rsidP="002365D0">
      <w:bookmarkStart w:id="4" w:name="_Hlk117764305"/>
      <w:r>
        <w:t xml:space="preserve">Op dit moment dienen bij SCE-projecten van VvE’s alle </w:t>
      </w:r>
      <w:r w:rsidR="00394730">
        <w:t>leden</w:t>
      </w:r>
      <w:r>
        <w:t xml:space="preserve"> een </w:t>
      </w:r>
      <w:r w:rsidR="001E79A7">
        <w:t>kleinverbruikaansluiting op het elektriciteitsnet te hebben</w:t>
      </w:r>
      <w:r w:rsidR="00394730">
        <w:t xml:space="preserve"> bij het indienen van de aanvraag</w:t>
      </w:r>
      <w:r w:rsidR="001E79A7">
        <w:t xml:space="preserve">. </w:t>
      </w:r>
      <w:r w:rsidR="009C440D">
        <w:t>Ik verlaag deze eis voor het aandeel kleinverbruikaansluitingen in een VvE naar 75%. Tot nu toe waren g</w:t>
      </w:r>
      <w:r w:rsidR="001E79A7">
        <w:t>rootverbruikaansluitingen niet toegestaan</w:t>
      </w:r>
      <w:r w:rsidR="009C440D">
        <w:t xml:space="preserve"> in de VvE</w:t>
      </w:r>
      <w:r w:rsidR="001E79A7">
        <w:t xml:space="preserve">, omdat deze zich vaak bevinden bij bedrijven en grotere (industriële) complexen, die niet de doelgroep van deze regeling zijn. In de praktijk is echter gebleken dat sommige VvE’s, met hoofdzakelijk bewoners met kleinverbruikaansluitingen, </w:t>
      </w:r>
      <w:r w:rsidR="009C440D">
        <w:t xml:space="preserve">door deze eis </w:t>
      </w:r>
      <w:r w:rsidR="001E79A7">
        <w:t>niet mee kunnen doen aan de regeling</w:t>
      </w:r>
      <w:r w:rsidR="009C440D">
        <w:t>. Dit komt dan</w:t>
      </w:r>
      <w:r w:rsidR="001E79A7">
        <w:t xml:space="preserve"> omdat bijvoorbeeld op de benedenverdieping van het pand zich een of enkele ondernemers met een grootverbruikaansluiting bevinden. Deze doen niet eens altijd mee in het project</w:t>
      </w:r>
      <w:r w:rsidR="00394730">
        <w:t>, maar zijn wel lid van de VvE. V</w:t>
      </w:r>
      <w:r w:rsidR="001E79A7">
        <w:t>anwege de eis van 100% kleinverbruikaansluitingen k</w:t>
      </w:r>
      <w:r w:rsidR="00394730">
        <w:t xml:space="preserve">an </w:t>
      </w:r>
      <w:r w:rsidR="00897653">
        <w:t xml:space="preserve">zo’n </w:t>
      </w:r>
      <w:r w:rsidR="00394730">
        <w:t>VvE</w:t>
      </w:r>
      <w:r w:rsidR="001E79A7">
        <w:t xml:space="preserve"> geen SCE</w:t>
      </w:r>
      <w:r w:rsidR="00394730">
        <w:t>-subsidie</w:t>
      </w:r>
      <w:r w:rsidR="001E79A7">
        <w:t xml:space="preserve"> aanvragen. </w:t>
      </w:r>
      <w:r w:rsidR="009C440D">
        <w:t>Het</w:t>
      </w:r>
      <w:r w:rsidR="001E79A7">
        <w:t xml:space="preserve"> percentage </w:t>
      </w:r>
      <w:r w:rsidR="009C440D">
        <w:t xml:space="preserve">van 75% </w:t>
      </w:r>
      <w:r w:rsidR="001E79A7">
        <w:t xml:space="preserve">waarborgt nog altijd dat de aanvragende VvE hoofdzakelijk bestaat uit bewoners, die de doelgroep van deze regeling vormen, terwijl deelname aan de regeling nu niet onmogelijk gemaakt wordt omdat er </w:t>
      </w:r>
      <w:r w:rsidR="001E79A7">
        <w:lastRenderedPageBreak/>
        <w:t xml:space="preserve">enkele ondernemers in hetzelfde pand zitten. </w:t>
      </w:r>
      <w:r w:rsidR="00394730">
        <w:t xml:space="preserve">Ook blijft de regeling met deze wijziging onverminderd gericht op huishoudens. </w:t>
      </w:r>
    </w:p>
    <w:bookmarkEnd w:id="4"/>
    <w:p w14:paraId="0E1D0453" w14:textId="77777777" w:rsidR="00294CC9" w:rsidRDefault="00294CC9" w:rsidP="002365D0"/>
    <w:p w14:paraId="0A3B96F5" w14:textId="77777777" w:rsidR="000B50D3" w:rsidRPr="000B50D3" w:rsidRDefault="00335B0C" w:rsidP="002365D0">
      <w:pPr>
        <w:rPr>
          <w:i/>
          <w:iCs/>
        </w:rPr>
      </w:pPr>
      <w:r w:rsidRPr="000B50D3">
        <w:rPr>
          <w:i/>
          <w:iCs/>
        </w:rPr>
        <w:t xml:space="preserve">Vermindering netbelasting zonprojecten op grootverbruikaansluiting </w:t>
      </w:r>
    </w:p>
    <w:p w14:paraId="2B1AEE53" w14:textId="77777777" w:rsidR="00797F8C" w:rsidRPr="009C440D" w:rsidRDefault="00335B0C" w:rsidP="002365D0">
      <w:r>
        <w:t>In de SCE voer ik de eis in om zonprojecten op een grootverbruikaansluiting op 50% van het piekvermogen van de panelen aan te sluiten op het elektriciteitsnet. Dit doe ik omdat t</w:t>
      </w:r>
      <w:r w:rsidR="001E79A7">
        <w:t>ransportschaarste op het elektriciteitsnet op dit moment een van de grootste uitdaging</w:t>
      </w:r>
      <w:r w:rsidR="007E79B6">
        <w:t>en</w:t>
      </w:r>
      <w:r w:rsidR="001E79A7">
        <w:t xml:space="preserve"> </w:t>
      </w:r>
      <w:r>
        <w:t xml:space="preserve">is </w:t>
      </w:r>
      <w:r w:rsidR="001E79A7">
        <w:t xml:space="preserve">voor hernieuwbare energieprojecten op land. </w:t>
      </w:r>
      <w:bookmarkStart w:id="5" w:name="_Hlk117768809"/>
      <w:r w:rsidR="001E79A7">
        <w:t xml:space="preserve">In de SDE++ eis ik daarom </w:t>
      </w:r>
      <w:r>
        <w:t xml:space="preserve">al dat </w:t>
      </w:r>
      <w:r w:rsidR="001E79A7">
        <w:t>sinds dit jaar dat de grotere projecten (</w:t>
      </w:r>
      <w:r w:rsidR="00394730">
        <w:t>vanaf</w:t>
      </w:r>
      <w:r w:rsidR="001E79A7">
        <w:t xml:space="preserve"> 1 MWp) alleen nog additioneel terugleververmogen bij de netbeheerder mogen boeken voor 50% van het piekvermogen van de </w:t>
      </w:r>
      <w:r w:rsidR="00394730">
        <w:t>zonnepanelen</w:t>
      </w:r>
      <w:r w:rsidR="001E79A7">
        <w:t xml:space="preserve">. </w:t>
      </w:r>
      <w:bookmarkStart w:id="6" w:name="_Hlk117768829"/>
      <w:r w:rsidR="002C0DE6">
        <w:t xml:space="preserve">Concreet betekent dit dat projecten een aansluiting krijgen op het elektriciteitsnet </w:t>
      </w:r>
      <w:bookmarkEnd w:id="5"/>
      <w:r w:rsidR="002C0DE6">
        <w:t xml:space="preserve">van maximaal 50% van het opgetelde piekvermogen van de </w:t>
      </w:r>
      <w:r w:rsidR="00394730">
        <w:t>zonne</w:t>
      </w:r>
      <w:r w:rsidR="002C0DE6">
        <w:t xml:space="preserve">panelen. </w:t>
      </w:r>
      <w:bookmarkEnd w:id="6"/>
      <w:r w:rsidR="002C0DE6">
        <w:t xml:space="preserve">Dit betekent dat projecten een klein deel van de opbrengst van elektriciteit verliezen (met name tussen de middag op zonnige dagen in de zomer), maar veel constanter op andere momenten elektriciteit kunnen invoeden. Bijvoorbeeld omdat de zonnepanelen niet op het zuiden worden gelegd, maar op het oosten en westen. Hoewel een klein beetje opbrengst verloren gaat op deze manier, wordt hiermee fors ruimte gecreëerd op het elektriciteitsnet, omdat de aansluitingen per gegeven project kleiner kunnen zijn (of het aantal zonnepanelen van een projecten met een gegeven aansluiting, groter). </w:t>
      </w:r>
      <w:r w:rsidR="00897653">
        <w:t xml:space="preserve">Het </w:t>
      </w:r>
      <w:r w:rsidR="002C0DE6">
        <w:t xml:space="preserve">PBL heeft berekend dat </w:t>
      </w:r>
      <w:r w:rsidR="000075DD" w:rsidRPr="000075DD">
        <w:t>de investeringskosten iets lager naarmate de netaansluiting kleiner</w:t>
      </w:r>
      <w:r w:rsidR="000075DD">
        <w:t>,</w:t>
      </w:r>
      <w:r w:rsidR="000075DD" w:rsidRPr="000075DD">
        <w:t xml:space="preserve"> wordt wegens besparing op de kosten voor de elektrische infrastructuur</w:t>
      </w:r>
      <w:r w:rsidR="000075DD">
        <w:t xml:space="preserve">. Tegelijkertijd daalt het aantal </w:t>
      </w:r>
      <w:r w:rsidR="000075DD" w:rsidRPr="000075DD">
        <w:t xml:space="preserve">vollasturen </w:t>
      </w:r>
      <w:r w:rsidR="000075DD">
        <w:t>(een maatstaf voor de productie van de installatie).</w:t>
      </w:r>
      <w:r w:rsidR="002C0DE6">
        <w:t xml:space="preserve"> Het opbrengstverlies wordt in de subsidiebedragen gecompenseerd</w:t>
      </w:r>
      <w:r w:rsidR="000075DD">
        <w:t>. Het</w:t>
      </w:r>
      <w:r w:rsidR="002C0DE6">
        <w:t xml:space="preserve"> basisbedrag gaat </w:t>
      </w:r>
      <w:r w:rsidR="000075DD">
        <w:t xml:space="preserve">als gevolg </w:t>
      </w:r>
      <w:r>
        <w:t>van deze eis voor zonprojecten op grootverbruikaansluitingen</w:t>
      </w:r>
      <w:r w:rsidR="000075DD">
        <w:t xml:space="preserve"> licht</w:t>
      </w:r>
      <w:r w:rsidR="002C0DE6">
        <w:t xml:space="preserve"> omhoog ten opzichte van de standaard aansluitwaarde van 70% die nu gebruikelijk is</w:t>
      </w:r>
      <w:r>
        <w:t xml:space="preserve"> in de </w:t>
      </w:r>
      <w:r w:rsidRPr="009C440D">
        <w:t>SCE</w:t>
      </w:r>
      <w:r w:rsidR="002C0DE6" w:rsidRPr="009C440D">
        <w:t xml:space="preserve">. </w:t>
      </w:r>
      <w:r w:rsidRPr="009C440D">
        <w:t xml:space="preserve">Projecten op grootverbruikaansluiting </w:t>
      </w:r>
      <w:r w:rsidR="002C0DE6" w:rsidRPr="009C440D">
        <w:t xml:space="preserve">zijn gemiddeld groter </w:t>
      </w:r>
      <w:r w:rsidR="00394730" w:rsidRPr="009C440D">
        <w:t xml:space="preserve">dan zonprojecten op kleinverbruikaansluiting </w:t>
      </w:r>
      <w:r w:rsidR="002C0DE6" w:rsidRPr="009C440D">
        <w:t>en leveren daarom de meeste winst op het net op. Bovendien kunnen groter</w:t>
      </w:r>
      <w:r w:rsidR="000075DD" w:rsidRPr="009C440D">
        <w:t>e</w:t>
      </w:r>
      <w:r w:rsidR="002C0DE6" w:rsidRPr="009C440D">
        <w:t xml:space="preserve"> </w:t>
      </w:r>
      <w:r w:rsidR="00394730" w:rsidRPr="009C440D">
        <w:t>zon</w:t>
      </w:r>
      <w:r w:rsidR="002C0DE6" w:rsidRPr="009C440D">
        <w:t xml:space="preserve">projecten vaak relatief </w:t>
      </w:r>
      <w:r w:rsidR="00897653">
        <w:t>ge</w:t>
      </w:r>
      <w:r w:rsidR="002C0DE6" w:rsidRPr="009C440D">
        <w:t xml:space="preserve">makkelijker dit soort wijzigingen doorvoeren. </w:t>
      </w:r>
      <w:r w:rsidR="00394730" w:rsidRPr="009C440D">
        <w:t>Tot slot</w:t>
      </w:r>
      <w:r w:rsidR="002C0DE6" w:rsidRPr="009C440D">
        <w:t xml:space="preserve"> bestaat op kleinverbruikaansluitingen al een </w:t>
      </w:r>
      <w:r w:rsidR="007E79B6" w:rsidRPr="009C440D">
        <w:t xml:space="preserve">beperkte </w:t>
      </w:r>
      <w:r w:rsidR="002C0DE6" w:rsidRPr="009C440D">
        <w:t xml:space="preserve">prikkel voor projecten om uit eigen beweging het project af te toppen en zo de netbelasting te verminderen, of meer </w:t>
      </w:r>
      <w:r w:rsidR="00394730" w:rsidRPr="009C440D">
        <w:t>zonne</w:t>
      </w:r>
      <w:r w:rsidR="002C0DE6" w:rsidRPr="009C440D">
        <w:t xml:space="preserve">panelen te plaatsen bij een gegeven aansluiting. Daarom vind ik het op dit moment niet opportuun om deze eis voor kleinverbruikaansluiting in te voeren.   </w:t>
      </w:r>
    </w:p>
    <w:p w14:paraId="4335BE45" w14:textId="77777777" w:rsidR="00294CC9" w:rsidRPr="009C440D" w:rsidRDefault="00294CC9" w:rsidP="002365D0"/>
    <w:p w14:paraId="7FD127EB" w14:textId="77777777" w:rsidR="000B50D3" w:rsidRPr="009C440D" w:rsidRDefault="00335B0C" w:rsidP="002365D0">
      <w:pPr>
        <w:rPr>
          <w:i/>
          <w:iCs/>
        </w:rPr>
      </w:pPr>
      <w:r>
        <w:rPr>
          <w:i/>
          <w:iCs/>
        </w:rPr>
        <w:t>V</w:t>
      </w:r>
      <w:r w:rsidRPr="009C440D">
        <w:rPr>
          <w:i/>
          <w:iCs/>
        </w:rPr>
        <w:t>erklaring</w:t>
      </w:r>
      <w:r>
        <w:rPr>
          <w:i/>
          <w:iCs/>
        </w:rPr>
        <w:t xml:space="preserve"> geschiktheid dak of gevel</w:t>
      </w:r>
    </w:p>
    <w:p w14:paraId="15F54DD2" w14:textId="77777777" w:rsidR="003D04DA" w:rsidRPr="009C440D" w:rsidRDefault="00335B0C" w:rsidP="002365D0">
      <w:r w:rsidRPr="009C440D">
        <w:t xml:space="preserve">Ik voer voor de SCE vanaf 2023 in dat aanvragers bij aanvraag een verklaring indienen, waarin zij aangeven dat er een eerste schouw heeft plaatsgevonden van de geschiktheid van het dak </w:t>
      </w:r>
      <w:r w:rsidR="001C5DFA">
        <w:t xml:space="preserve">of de gevel </w:t>
      </w:r>
      <w:r w:rsidRPr="009C440D">
        <w:t xml:space="preserve">waarop de zonnepanelen geplaatst moeten worden. Dit kunnen aanvragers doen met gebruikmaking van een formulier op de website van RVO. In dat formulier moet worden aangegeven dat er een eerste schouw van het dak </w:t>
      </w:r>
      <w:r w:rsidR="001C5DFA">
        <w:t xml:space="preserve">of de gevel </w:t>
      </w:r>
      <w:r w:rsidRPr="009C440D">
        <w:t>geweest moet zijn. Dit hoeft nog geen volledige analyse inclusief berekening te zijn van een erkend constructeur, maar dat mag uiteraard wel. Het is in de verklaring met name van belang dat er een eerste inschatting is gemaakt van de draagcapaciteit van het dak</w:t>
      </w:r>
      <w:r w:rsidR="001C5DFA">
        <w:t xml:space="preserve"> of de gevel</w:t>
      </w:r>
      <w:r w:rsidRPr="009C440D">
        <w:t xml:space="preserve">. Tevens heeft de aanvrager de mogelijkheid al in te vullen welke maatregelen eventueel genomen gaan worden om het dak </w:t>
      </w:r>
      <w:r w:rsidR="001C5DFA">
        <w:t xml:space="preserve">of de gevel </w:t>
      </w:r>
      <w:r w:rsidRPr="009C440D">
        <w:t xml:space="preserve">geschikt te maken voor de beoogde installatie met zonnepanelen, als dat nog niet het geval is. Door de </w:t>
      </w:r>
      <w:r w:rsidRPr="009C440D">
        <w:lastRenderedPageBreak/>
        <w:t xml:space="preserve">verklaring in te vullen, komt de aanvrager niet later voor de verrassing te staan dat het dak </w:t>
      </w:r>
      <w:r w:rsidR="001C5DFA">
        <w:t xml:space="preserve">of de gevel </w:t>
      </w:r>
      <w:r w:rsidRPr="009C440D">
        <w:t>toch niet geschikt is voor de zonnepanelen. Dit is belangrijk, omdat e</w:t>
      </w:r>
      <w:r w:rsidR="00394730" w:rsidRPr="009C440D">
        <w:t>en fors aantal</w:t>
      </w:r>
      <w:r w:rsidR="00291341" w:rsidRPr="009C440D">
        <w:t xml:space="preserve"> coöperatieve zonprojecten niet door</w:t>
      </w:r>
      <w:r w:rsidRPr="009C440D">
        <w:t>gaat</w:t>
      </w:r>
      <w:r w:rsidR="00291341" w:rsidRPr="009C440D">
        <w:t xml:space="preserve"> vanwege problemen met het dak </w:t>
      </w:r>
      <w:r w:rsidR="001C5DFA">
        <w:t xml:space="preserve">of de gevel </w:t>
      </w:r>
      <w:r w:rsidR="00291341" w:rsidRPr="009C440D">
        <w:t xml:space="preserve">waarop de installatie voorzien was. Dit </w:t>
      </w:r>
      <w:r w:rsidRPr="009C440D">
        <w:t>komt in de meeste gevallen om</w:t>
      </w:r>
      <w:r w:rsidR="00291341" w:rsidRPr="009C440D">
        <w:t xml:space="preserve">dat de eigenaar van het dak </w:t>
      </w:r>
      <w:r w:rsidR="001C5DFA">
        <w:t xml:space="preserve">of de gevel </w:t>
      </w:r>
      <w:r w:rsidR="00291341" w:rsidRPr="009C440D">
        <w:t>(bij nader inzien) geen toestemming geeft voor gebruik van het dak</w:t>
      </w:r>
      <w:r w:rsidR="001C5DFA">
        <w:t xml:space="preserve"> of de gevel</w:t>
      </w:r>
      <w:r w:rsidR="00291341" w:rsidRPr="009C440D">
        <w:t xml:space="preserve">, of </w:t>
      </w:r>
      <w:r w:rsidRPr="009C440D">
        <w:t>door</w:t>
      </w:r>
      <w:r w:rsidR="00291341" w:rsidRPr="009C440D">
        <w:t xml:space="preserve">dat het dak </w:t>
      </w:r>
      <w:r w:rsidR="001C5DFA">
        <w:t xml:space="preserve">of de gevel </w:t>
      </w:r>
      <w:r w:rsidR="00291341" w:rsidRPr="009C440D">
        <w:t xml:space="preserve">(bij nader inzien) ongeschikt blijkt voor de beoogde zonnepanelen. Beide </w:t>
      </w:r>
      <w:r w:rsidR="00391590" w:rsidRPr="009C440D">
        <w:t xml:space="preserve">situaties </w:t>
      </w:r>
      <w:r w:rsidR="00291341" w:rsidRPr="009C440D">
        <w:t xml:space="preserve">zijn onwenselijk, maar </w:t>
      </w:r>
      <w:r w:rsidR="00391590" w:rsidRPr="009C440D">
        <w:t>de tweede situatie</w:t>
      </w:r>
      <w:r w:rsidR="00291341" w:rsidRPr="009C440D">
        <w:t xml:space="preserve"> leid</w:t>
      </w:r>
      <w:r w:rsidR="00391590" w:rsidRPr="009C440D">
        <w:t xml:space="preserve">de in 2021 en 2022 </w:t>
      </w:r>
      <w:r w:rsidR="00291341" w:rsidRPr="009C440D">
        <w:t xml:space="preserve">bij een fors aantal projecten tot non-realisatie en vrijval, </w:t>
      </w:r>
      <w:r w:rsidR="00897653">
        <w:t>terwijl deze</w:t>
      </w:r>
      <w:r w:rsidR="00291341" w:rsidRPr="009C440D">
        <w:t xml:space="preserve"> in principe te voorkomen</w:t>
      </w:r>
      <w:r w:rsidR="00897653">
        <w:t xml:space="preserve"> is</w:t>
      </w:r>
      <w:r w:rsidR="00291341" w:rsidRPr="009C440D">
        <w:t>. Daarom vereis ik vanaf 2023 bij aanvraag een verklaring</w:t>
      </w:r>
      <w:r w:rsidR="001C5DFA">
        <w:t xml:space="preserve"> over de geschiktheid van het dak of de gevel.</w:t>
      </w:r>
      <w:r w:rsidR="00291341" w:rsidRPr="009C440D">
        <w:t xml:space="preserve"> In de SDE++ is dat al sinds 2022 een eis, zij het in een andere vorm. </w:t>
      </w:r>
    </w:p>
    <w:p w14:paraId="7EB7370B" w14:textId="77777777" w:rsidR="003D04DA" w:rsidRPr="009C440D" w:rsidRDefault="003D04DA" w:rsidP="002365D0"/>
    <w:p w14:paraId="55C7A552" w14:textId="77777777" w:rsidR="00291341" w:rsidRPr="009C440D" w:rsidRDefault="00335B0C" w:rsidP="002365D0">
      <w:pPr>
        <w:rPr>
          <w:i/>
          <w:iCs/>
        </w:rPr>
      </w:pPr>
      <w:r w:rsidRPr="009C440D">
        <w:rPr>
          <w:i/>
          <w:iCs/>
        </w:rPr>
        <w:t xml:space="preserve">Locatie aaneengesloten dak  </w:t>
      </w:r>
    </w:p>
    <w:p w14:paraId="671E0C3C" w14:textId="77777777" w:rsidR="00391590" w:rsidRPr="003D04DA" w:rsidRDefault="00335B0C" w:rsidP="002365D0">
      <w:r w:rsidRPr="009C440D">
        <w:t>Als laatste punt noem ik de wijziging van de uitleg van ‘aaneengesloten dak’. Anders dan voorgaande punten betreft dit geen wijziging in regelgeving, maar  gaat het om een wijziging</w:t>
      </w:r>
      <w:r>
        <w:t xml:space="preserve"> in de uitleg door RVO in haar beleid. </w:t>
      </w:r>
      <w:r w:rsidR="009C440D">
        <w:t xml:space="preserve">RVO hanteert vanaf 2023 bij beoordeling van de aanvraag de locatiedefinitie ‘pand-ID’, zoals deze geregistreerd staat in de Basisregistratie Adressen en Gebouwen </w:t>
      </w:r>
      <w:r>
        <w:t xml:space="preserve">In de regeling is opgenomen dat de installatie moet zijn geplaatst op een locatie. Tot nu toe gaat RVO voor het bepalen van het begrip locatie specifiek voor zonnepanelen op een dak van een gebouw, ervan uit dat het moet gaan om een ‘aaneengesloten dak’. Per locatie mag maar één project gerealiseerd worden, wat ertoe leidt dat op grotere woningblokken met één geheel aaneengesloten dak, maar één project gerealiseerd mag worden, terwijl er verschillende adressen of zelfs straten onder dit woningblok vallen. </w:t>
      </w:r>
      <w:r w:rsidR="009C440D">
        <w:t>Door de wijziging van de gehanteerde locatiedefinitie</w:t>
      </w:r>
      <w:r>
        <w:t xml:space="preserve"> wordt het mogelijk op grotere woningblokken meerdere projecten van verschillende coöperaties of VvE’s op hetzelfde dak te realiseren. </w:t>
      </w:r>
    </w:p>
    <w:p w14:paraId="06C844A6" w14:textId="77777777" w:rsidR="00E10F4D" w:rsidRDefault="00E10F4D" w:rsidP="002365D0">
      <w:pPr>
        <w:rPr>
          <w:b/>
          <w:bCs/>
        </w:rPr>
      </w:pPr>
    </w:p>
    <w:p w14:paraId="4BFE4888" w14:textId="77777777" w:rsidR="002C50B8" w:rsidRPr="002C50B8" w:rsidRDefault="00335B0C" w:rsidP="002365D0">
      <w:pPr>
        <w:rPr>
          <w:b/>
          <w:bCs/>
        </w:rPr>
      </w:pPr>
      <w:r w:rsidRPr="002C50B8">
        <w:rPr>
          <w:b/>
          <w:bCs/>
        </w:rPr>
        <w:t>Terugkoppeling rondetafelgesprek met energiecoöperaties</w:t>
      </w:r>
    </w:p>
    <w:p w14:paraId="75315408" w14:textId="77777777" w:rsidR="002C50B8" w:rsidRDefault="00335B0C" w:rsidP="002365D0">
      <w:pPr>
        <w:rPr>
          <w:szCs w:val="18"/>
        </w:rPr>
      </w:pPr>
      <w:r>
        <w:rPr>
          <w:szCs w:val="18"/>
        </w:rPr>
        <w:t xml:space="preserve">Voor het zomerreces heb ik d.d. 30 juni jl. een </w:t>
      </w:r>
      <w:r w:rsidR="00D956BE">
        <w:rPr>
          <w:szCs w:val="18"/>
        </w:rPr>
        <w:t>rondetafelg</w:t>
      </w:r>
      <w:r>
        <w:rPr>
          <w:szCs w:val="18"/>
        </w:rPr>
        <w:t>esprek gevoerd met afgevaardigden van energiecoöperaties</w:t>
      </w:r>
      <w:r w:rsidR="009C440D">
        <w:rPr>
          <w:szCs w:val="18"/>
        </w:rPr>
        <w:t xml:space="preserve"> over de energietransitie</w:t>
      </w:r>
      <w:r w:rsidR="00D956BE">
        <w:rPr>
          <w:szCs w:val="18"/>
        </w:rPr>
        <w:t xml:space="preserve">. </w:t>
      </w:r>
      <w:r>
        <w:rPr>
          <w:szCs w:val="18"/>
        </w:rPr>
        <w:t>In het Commissiedebat SDE++ van 24 maart jl. heb ik aan lid Kröger (Groen</w:t>
      </w:r>
      <w:r w:rsidR="000027B0">
        <w:rPr>
          <w:szCs w:val="18"/>
        </w:rPr>
        <w:t>L</w:t>
      </w:r>
      <w:r>
        <w:rPr>
          <w:szCs w:val="18"/>
        </w:rPr>
        <w:t xml:space="preserve">inks) toegezegd over dit gesprek terug te koppelen aan uw Kamer. </w:t>
      </w:r>
      <w:r w:rsidR="00D956BE">
        <w:rPr>
          <w:szCs w:val="18"/>
        </w:rPr>
        <w:t>Bij het gesprek waren koepelorganisatie Energie Samen, Stichting Urgenda en afgevaardigden van diverse coöperaties uit het hele land aanwezig. Met hen heb ik een g</w:t>
      </w:r>
      <w:r w:rsidR="004776E2">
        <w:rPr>
          <w:szCs w:val="18"/>
        </w:rPr>
        <w:t xml:space="preserve">oed gesprek </w:t>
      </w:r>
      <w:r w:rsidR="00D956BE">
        <w:rPr>
          <w:szCs w:val="18"/>
        </w:rPr>
        <w:t xml:space="preserve">gevoerd waarbij gesproken is over de SCE en zij hun visies en zorgen voor de coöperatieve energietransitie met mij gedeeld hebben. Ook heeft Energie Samen mij daar een actieplan voor de </w:t>
      </w:r>
      <w:r w:rsidR="002678E1">
        <w:rPr>
          <w:szCs w:val="18"/>
        </w:rPr>
        <w:t>energiecoöperatieve beweging</w:t>
      </w:r>
      <w:r w:rsidR="00D956BE">
        <w:rPr>
          <w:szCs w:val="18"/>
        </w:rPr>
        <w:t xml:space="preserve"> overhandigd. Het g</w:t>
      </w:r>
      <w:r w:rsidR="004776E2">
        <w:rPr>
          <w:szCs w:val="18"/>
        </w:rPr>
        <w:t>esprek ging over de volle breedte van de coöperatieve energie</w:t>
      </w:r>
      <w:r w:rsidR="00D956BE">
        <w:rPr>
          <w:szCs w:val="18"/>
        </w:rPr>
        <w:t xml:space="preserve">beweging: </w:t>
      </w:r>
      <w:r w:rsidR="004776E2">
        <w:rPr>
          <w:szCs w:val="18"/>
        </w:rPr>
        <w:t>e</w:t>
      </w:r>
      <w:r>
        <w:rPr>
          <w:szCs w:val="18"/>
        </w:rPr>
        <w:t xml:space="preserve">lektriciteit, warmte, </w:t>
      </w:r>
      <w:r w:rsidR="00D956BE">
        <w:rPr>
          <w:szCs w:val="18"/>
        </w:rPr>
        <w:t xml:space="preserve">systeemintegratie en </w:t>
      </w:r>
      <w:r>
        <w:rPr>
          <w:szCs w:val="18"/>
        </w:rPr>
        <w:t>nieuwe initiatieven</w:t>
      </w:r>
      <w:r w:rsidR="00D956BE">
        <w:rPr>
          <w:szCs w:val="18"/>
        </w:rPr>
        <w:t>.</w:t>
      </w:r>
      <w:r>
        <w:rPr>
          <w:szCs w:val="18"/>
        </w:rPr>
        <w:t xml:space="preserve"> </w:t>
      </w:r>
    </w:p>
    <w:p w14:paraId="0071B3D1" w14:textId="77777777" w:rsidR="002C50B8" w:rsidRDefault="002C50B8" w:rsidP="002365D0">
      <w:pPr>
        <w:rPr>
          <w:szCs w:val="18"/>
        </w:rPr>
      </w:pPr>
    </w:p>
    <w:p w14:paraId="250C049C" w14:textId="77777777" w:rsidR="00391590" w:rsidRPr="00391590" w:rsidRDefault="00335B0C" w:rsidP="002365D0">
      <w:r w:rsidRPr="00391590">
        <w:t xml:space="preserve">Ik heb in het gesprek te kennen gegeven dat ik hun bijdrage aan de energietransitie veelbetekenend en veelbelovend vind. Daarom wil ik hen, waar mogelijk en nodig, passend blijven ondersteunen. Dit doe ik al middels de SCE, waarvoor wij enkele verbeterpunten besproken hebben. Deze verbeterpunten hebben geleid tot aanpassingen in de SCE-regelgeving voor 2023. We hebben de gezamenlijke wens uitgesproken de afspraak van 50% lokaal eigendom in zon- en windprojecten uit het Klimaatakkoord realiteit te maken. Hierbij moet oog zijn </w:t>
      </w:r>
      <w:r w:rsidRPr="00391590">
        <w:lastRenderedPageBreak/>
        <w:t xml:space="preserve">voor de ontwikkelingen en drempels voor de </w:t>
      </w:r>
      <w:r w:rsidR="002678E1">
        <w:t>doelgroep</w:t>
      </w:r>
      <w:r w:rsidRPr="00391590">
        <w:t>, zoals de recente prijsstijgingen.</w:t>
      </w:r>
    </w:p>
    <w:p w14:paraId="5919AA8A" w14:textId="77777777" w:rsidR="004776E2" w:rsidRDefault="004776E2" w:rsidP="002365D0"/>
    <w:p w14:paraId="48B05B9E" w14:textId="77777777" w:rsidR="002C50B8" w:rsidRDefault="00335B0C" w:rsidP="002365D0">
      <w:r>
        <w:t>Voor 2023 ligt mijn focus op een vervroegde en passende openstelling van de SCE. Door de aankomende ronde te versnellen, kunnen projecten die nu stilstaan</w:t>
      </w:r>
      <w:r w:rsidR="00474DB7">
        <w:t xml:space="preserve"> weer </w:t>
      </w:r>
      <w:r>
        <w:t xml:space="preserve">eerder aan bod komen. </w:t>
      </w:r>
      <w:r w:rsidRPr="00D956BE">
        <w:t xml:space="preserve">Voor de subsidiecategorieën en -tarieven </w:t>
      </w:r>
      <w:r w:rsidR="000D6D2B">
        <w:t xml:space="preserve">heeft </w:t>
      </w:r>
      <w:r w:rsidR="00897653">
        <w:t xml:space="preserve">het </w:t>
      </w:r>
      <w:r w:rsidRPr="00D956BE">
        <w:t>PBL</w:t>
      </w:r>
      <w:r w:rsidR="00781D7E">
        <w:t xml:space="preserve"> zoals eerder gezegd </w:t>
      </w:r>
      <w:r w:rsidRPr="00D956BE">
        <w:t xml:space="preserve">een </w:t>
      </w:r>
      <w:r>
        <w:t xml:space="preserve">toepasselijk </w:t>
      </w:r>
      <w:r w:rsidRPr="00D956BE">
        <w:t xml:space="preserve">advies </w:t>
      </w:r>
      <w:r w:rsidR="000D6D2B">
        <w:t>uitgebracht</w:t>
      </w:r>
      <w:r w:rsidR="00781D7E">
        <w:t xml:space="preserve">. </w:t>
      </w:r>
      <w:r>
        <w:t xml:space="preserve">In de </w:t>
      </w:r>
      <w:r w:rsidR="00D97670">
        <w:t xml:space="preserve">jaren </w:t>
      </w:r>
      <w:r w:rsidR="003D04DA">
        <w:t>na 2023</w:t>
      </w:r>
      <w:r w:rsidR="00D97670">
        <w:t xml:space="preserve"> zal ik, steeds in goed overleg, kijken hoe de visie van de coöperatieve beweging waar nodig en mogelijk verweven kan worden in de SCE en het bredere beleid. Hierbij speelt bijvoorbeeld systeemintegratie een rol</w:t>
      </w:r>
      <w:r w:rsidR="00474DB7">
        <w:t>, waarover reeds ambtelijk wordt doorgepraat.</w:t>
      </w:r>
    </w:p>
    <w:p w14:paraId="30B798B6" w14:textId="77777777" w:rsidR="00D97670" w:rsidRDefault="00D97670" w:rsidP="002365D0">
      <w:pPr>
        <w:rPr>
          <w:b/>
          <w:bCs/>
        </w:rPr>
      </w:pPr>
    </w:p>
    <w:p w14:paraId="0E6A4F91" w14:textId="77777777" w:rsidR="00721AE1" w:rsidRPr="002C50B8" w:rsidRDefault="00335B0C" w:rsidP="002365D0">
      <w:pPr>
        <w:rPr>
          <w:b/>
          <w:bCs/>
        </w:rPr>
      </w:pPr>
      <w:r>
        <w:rPr>
          <w:b/>
          <w:bCs/>
        </w:rPr>
        <w:t>Analyse c</w:t>
      </w:r>
      <w:r w:rsidRPr="002C50B8">
        <w:rPr>
          <w:b/>
          <w:bCs/>
        </w:rPr>
        <w:t>oöperaties in de SDE++</w:t>
      </w:r>
    </w:p>
    <w:p w14:paraId="1F7B322A" w14:textId="77777777" w:rsidR="00781D7E" w:rsidRPr="00781D7E" w:rsidRDefault="00335B0C" w:rsidP="002365D0">
      <w:pPr>
        <w:pStyle w:val="Geenafstand"/>
        <w:spacing w:line="240" w:lineRule="atLeast"/>
        <w:rPr>
          <w:rFonts w:ascii="Verdana" w:hAnsi="Verdana"/>
          <w:sz w:val="18"/>
          <w:szCs w:val="18"/>
        </w:rPr>
      </w:pPr>
      <w:r w:rsidRPr="00781D7E">
        <w:rPr>
          <w:rFonts w:ascii="Verdana" w:hAnsi="Verdana"/>
          <w:sz w:val="18"/>
          <w:szCs w:val="18"/>
        </w:rPr>
        <w:t>In het tweeminutendebat SDE++ van 6 april jl. heeft uw Kamer een motie (Kamerstukken II, 2021/2022, 31239, nr. 352) aangenomen van lid Kröger (Groen</w:t>
      </w:r>
      <w:r w:rsidR="000027B0">
        <w:rPr>
          <w:rFonts w:ascii="Verdana" w:hAnsi="Verdana"/>
          <w:sz w:val="18"/>
          <w:szCs w:val="18"/>
        </w:rPr>
        <w:t>L</w:t>
      </w:r>
      <w:r w:rsidRPr="00781D7E">
        <w:rPr>
          <w:rFonts w:ascii="Verdana" w:hAnsi="Verdana"/>
          <w:sz w:val="18"/>
          <w:szCs w:val="18"/>
        </w:rPr>
        <w:t>inks) die mij vraagt onderzoek te doen naar de realisatiegra</w:t>
      </w:r>
      <w:r w:rsidR="009C440D">
        <w:rPr>
          <w:rFonts w:ascii="Verdana" w:hAnsi="Verdana"/>
          <w:sz w:val="18"/>
          <w:szCs w:val="18"/>
        </w:rPr>
        <w:t>ad</w:t>
      </w:r>
      <w:r w:rsidRPr="00781D7E">
        <w:rPr>
          <w:rFonts w:ascii="Verdana" w:hAnsi="Verdana"/>
          <w:sz w:val="18"/>
          <w:szCs w:val="18"/>
        </w:rPr>
        <w:t xml:space="preserve"> van coöperatieve projecten en eventuele beperkingen die energiecoöperaties ondervinden in de SDE++. Tevens heb ik in het Commissiedebat d.d. 28 september aan </w:t>
      </w:r>
      <w:r w:rsidR="00897653">
        <w:rPr>
          <w:rFonts w:ascii="Verdana" w:hAnsi="Verdana"/>
          <w:sz w:val="18"/>
          <w:szCs w:val="18"/>
        </w:rPr>
        <w:t xml:space="preserve">het </w:t>
      </w:r>
      <w:r w:rsidRPr="00781D7E">
        <w:rPr>
          <w:rFonts w:ascii="Verdana" w:hAnsi="Verdana"/>
          <w:sz w:val="18"/>
          <w:szCs w:val="18"/>
        </w:rPr>
        <w:t>lid Kr</w:t>
      </w:r>
      <w:r w:rsidR="00897653" w:rsidRPr="00781D7E">
        <w:rPr>
          <w:rFonts w:ascii="Verdana" w:hAnsi="Verdana"/>
          <w:sz w:val="18"/>
          <w:szCs w:val="18"/>
        </w:rPr>
        <w:t>ö</w:t>
      </w:r>
      <w:r w:rsidRPr="00781D7E">
        <w:rPr>
          <w:rFonts w:ascii="Verdana" w:hAnsi="Verdana"/>
          <w:sz w:val="18"/>
          <w:szCs w:val="18"/>
        </w:rPr>
        <w:t xml:space="preserve">ger toegezegd in deze brief een analyse te doen van de beperkingen waar energiecoöperaties tegenaanlopen. Beide </w:t>
      </w:r>
      <w:r w:rsidR="005A3376">
        <w:rPr>
          <w:rFonts w:ascii="Verdana" w:hAnsi="Verdana"/>
          <w:sz w:val="18"/>
          <w:szCs w:val="18"/>
        </w:rPr>
        <w:t xml:space="preserve">heb ik uitgevoerd door de analyse in bijlage 1. </w:t>
      </w:r>
      <w:r w:rsidRPr="00781D7E">
        <w:rPr>
          <w:rFonts w:ascii="Verdana" w:hAnsi="Verdana"/>
          <w:sz w:val="18"/>
          <w:szCs w:val="18"/>
        </w:rPr>
        <w:t>De motie is tweeledig. Enerzijds verzoekt deze mij een quickscan te doen van welke projecten van energiecoöperaties die in 2019 en 2020 een SDE+(+)-subsidie ontvingen daadwerkelijk gerealiseerd zijn en wat hierin obstakels waren. Anderzijds verzoekt deze mij te analyseren of energiecoöperaties en burgerinitiatieven in de huidige SDE++-systematiek nadelen ondervinden en te bezien welke oplossingen hiervoor mogelijk zijn, zodat hiermee in de toekomst rekening gehouden kan worden in de ondersteuning van energiecoöperaties en burgerinitiatieven.</w:t>
      </w:r>
      <w:r w:rsidR="005A3376">
        <w:rPr>
          <w:rFonts w:ascii="Verdana" w:hAnsi="Verdana"/>
          <w:sz w:val="18"/>
          <w:szCs w:val="18"/>
        </w:rPr>
        <w:t xml:space="preserve"> De gemaakt</w:t>
      </w:r>
      <w:r w:rsidR="001C5DFA">
        <w:rPr>
          <w:rFonts w:ascii="Verdana" w:hAnsi="Verdana"/>
          <w:sz w:val="18"/>
          <w:szCs w:val="18"/>
        </w:rPr>
        <w:t>e</w:t>
      </w:r>
      <w:r w:rsidR="005A3376">
        <w:rPr>
          <w:rFonts w:ascii="Verdana" w:hAnsi="Verdana"/>
          <w:sz w:val="18"/>
          <w:szCs w:val="18"/>
        </w:rPr>
        <w:t xml:space="preserve"> analyse geeft mij nader inzicht in de knelpunten voor de coöperatieve energiebeweging. Middels de wijzigingen in de SCE 2023 pak ik deze knelpunten waar mogelijk aan. Tevens zal ik uw Kamer in het voorjaar van 2023 informeren over de vormgeving van de SDE++ 2023, waarvoor </w:t>
      </w:r>
      <w:r w:rsidR="00897653">
        <w:rPr>
          <w:rFonts w:ascii="Verdana" w:hAnsi="Verdana"/>
          <w:sz w:val="18"/>
          <w:szCs w:val="18"/>
        </w:rPr>
        <w:t xml:space="preserve">het </w:t>
      </w:r>
      <w:r w:rsidR="005A3376">
        <w:rPr>
          <w:rFonts w:ascii="Verdana" w:hAnsi="Verdana"/>
          <w:sz w:val="18"/>
          <w:szCs w:val="18"/>
        </w:rPr>
        <w:t xml:space="preserve">PBL weer een passend advies zal uitbrengen. </w:t>
      </w:r>
    </w:p>
    <w:p w14:paraId="5440297B" w14:textId="77777777" w:rsidR="0093046B" w:rsidRDefault="0093046B" w:rsidP="002365D0">
      <w:pPr>
        <w:pStyle w:val="Geenafstand"/>
        <w:spacing w:line="240" w:lineRule="atLeast"/>
        <w:rPr>
          <w:rFonts w:ascii="Verdana" w:hAnsi="Verdana"/>
          <w:sz w:val="18"/>
          <w:szCs w:val="18"/>
        </w:rPr>
      </w:pPr>
    </w:p>
    <w:p w14:paraId="3C8444AD" w14:textId="77777777" w:rsidR="00CC21ED" w:rsidRPr="00CC21ED" w:rsidRDefault="00335B0C" w:rsidP="002365D0">
      <w:pPr>
        <w:pStyle w:val="Geenafstand"/>
        <w:spacing w:line="240" w:lineRule="atLeast"/>
        <w:rPr>
          <w:rFonts w:ascii="Verdana" w:hAnsi="Verdana"/>
          <w:b/>
          <w:bCs/>
          <w:sz w:val="18"/>
          <w:szCs w:val="18"/>
        </w:rPr>
      </w:pPr>
      <w:bookmarkStart w:id="7" w:name="_Hlk118296391"/>
      <w:r w:rsidRPr="00CC21ED">
        <w:rPr>
          <w:rFonts w:ascii="Verdana" w:hAnsi="Verdana"/>
          <w:b/>
          <w:bCs/>
          <w:sz w:val="18"/>
          <w:szCs w:val="18"/>
        </w:rPr>
        <w:t>Overzicht regeling</w:t>
      </w:r>
      <w:r w:rsidR="005A3376">
        <w:rPr>
          <w:rFonts w:ascii="Verdana" w:hAnsi="Verdana"/>
          <w:b/>
          <w:bCs/>
          <w:sz w:val="18"/>
          <w:szCs w:val="18"/>
        </w:rPr>
        <w:t>en</w:t>
      </w:r>
      <w:r w:rsidRPr="00CC21ED">
        <w:rPr>
          <w:rFonts w:ascii="Verdana" w:hAnsi="Verdana"/>
          <w:b/>
          <w:bCs/>
          <w:sz w:val="18"/>
          <w:szCs w:val="18"/>
        </w:rPr>
        <w:t xml:space="preserve"> voor energiecoöperaties </w:t>
      </w:r>
    </w:p>
    <w:p w14:paraId="394B7764" w14:textId="77777777" w:rsidR="005A3376" w:rsidRDefault="00335B0C" w:rsidP="002365D0">
      <w:pPr>
        <w:pStyle w:val="Geenafstand"/>
        <w:spacing w:line="240" w:lineRule="atLeast"/>
        <w:rPr>
          <w:rFonts w:ascii="Verdana" w:hAnsi="Verdana"/>
          <w:sz w:val="18"/>
          <w:szCs w:val="18"/>
        </w:rPr>
      </w:pPr>
      <w:r>
        <w:rPr>
          <w:rFonts w:ascii="Verdana" w:hAnsi="Verdana"/>
          <w:sz w:val="18"/>
          <w:szCs w:val="18"/>
        </w:rPr>
        <w:t xml:space="preserve">In het Commissiedebat </w:t>
      </w:r>
      <w:bookmarkStart w:id="8" w:name="_Hlk118365332"/>
      <w:r w:rsidR="00CC21ED" w:rsidRPr="00CC21ED">
        <w:rPr>
          <w:rFonts w:ascii="Verdana" w:hAnsi="Verdana"/>
          <w:sz w:val="18"/>
          <w:szCs w:val="18"/>
        </w:rPr>
        <w:t>elektriciteitsnet, energie-infrastructuur en RES d.d. 28 september</w:t>
      </w:r>
      <w:r>
        <w:rPr>
          <w:rFonts w:ascii="Verdana" w:hAnsi="Verdana"/>
          <w:sz w:val="18"/>
          <w:szCs w:val="18"/>
        </w:rPr>
        <w:t xml:space="preserve"> jl. heb ik aan lid Kröger van uw Kamer toegezegd voor de Begrotingsbehandeling uw Kamer te informeren over de ve</w:t>
      </w:r>
      <w:r w:rsidR="00CC21ED" w:rsidRPr="00CC21ED">
        <w:rPr>
          <w:rFonts w:ascii="Verdana" w:hAnsi="Verdana"/>
          <w:sz w:val="18"/>
          <w:szCs w:val="18"/>
        </w:rPr>
        <w:t xml:space="preserve">rschillende regelingen </w:t>
      </w:r>
      <w:r>
        <w:rPr>
          <w:rFonts w:ascii="Verdana" w:hAnsi="Verdana"/>
          <w:sz w:val="18"/>
          <w:szCs w:val="18"/>
        </w:rPr>
        <w:t>waarvan energiecoöperaties gebruik kunnen maken.</w:t>
      </w:r>
      <w:bookmarkEnd w:id="8"/>
      <w:r>
        <w:rPr>
          <w:rFonts w:ascii="Verdana" w:hAnsi="Verdana"/>
          <w:sz w:val="18"/>
          <w:szCs w:val="18"/>
        </w:rPr>
        <w:t xml:space="preserve"> Dat doe ik hierbij. In aanvulling op de hierboven genoemde regelingen voor hernieuwbare energieproductie die openstaan voor energiecoöperaties, de SCE en de SDE++</w:t>
      </w:r>
      <w:bookmarkEnd w:id="7"/>
      <w:r>
        <w:rPr>
          <w:rFonts w:ascii="Verdana" w:hAnsi="Verdana"/>
          <w:sz w:val="18"/>
          <w:szCs w:val="18"/>
        </w:rPr>
        <w:t xml:space="preserve">, bestaan er nog diverse andere regelingen die energiecoöperaties helpen succesvol projecten van de grond te krijgen. Dit zijn bijvoorbeeld het </w:t>
      </w:r>
      <w:r>
        <w:rPr>
          <w:rFonts w:ascii="Verdana" w:eastAsia="Times New Roman" w:hAnsi="Verdana"/>
          <w:color w:val="000000"/>
          <w:sz w:val="18"/>
          <w:szCs w:val="18"/>
        </w:rPr>
        <w:t>Ontwikkelfonds voor Energiecoöperaties, dat door Energie Samen in samenwerking met het ministerie van Economische Zaken en Klimaat, InvestNL en het Nationaal Groenfonds is opgezet. Dit is v</w:t>
      </w:r>
      <w:r w:rsidRPr="00134382">
        <w:rPr>
          <w:rFonts w:ascii="Verdana" w:eastAsia="Times New Roman" w:hAnsi="Verdana"/>
          <w:color w:val="000000"/>
          <w:sz w:val="18"/>
          <w:szCs w:val="18"/>
        </w:rPr>
        <w:t>oor grote opwekprojecten in de Achterhoek, Drenthe, Limburg, Utrecht en Zuid-Holland</w:t>
      </w:r>
      <w:r>
        <w:rPr>
          <w:rFonts w:ascii="Verdana" w:eastAsia="Times New Roman" w:hAnsi="Verdana"/>
          <w:color w:val="000000"/>
          <w:sz w:val="18"/>
          <w:szCs w:val="18"/>
        </w:rPr>
        <w:t>. Tevens bestaan het Realisatiefonds, een p</w:t>
      </w:r>
      <w:r>
        <w:rPr>
          <w:rFonts w:ascii="Verdana" w:eastAsia="Times New Roman" w:hAnsi="Verdana"/>
          <w:sz w:val="18"/>
          <w:szCs w:val="18"/>
        </w:rPr>
        <w:t xml:space="preserve">rivaat initiatief van Energie Samen met Rabobank, Triodos en ASN en met fondsmanager SVn. Dit helpt coöperaties om investeringskosten te financieren. Daarnaast hebben decentrale overheden diverse subsidies ter beschikking voor lokale </w:t>
      </w:r>
      <w:r>
        <w:rPr>
          <w:rFonts w:ascii="Verdana" w:eastAsia="Times New Roman" w:hAnsi="Verdana"/>
          <w:sz w:val="18"/>
          <w:szCs w:val="18"/>
        </w:rPr>
        <w:lastRenderedPageBreak/>
        <w:t xml:space="preserve">ontwikkelingen. </w:t>
      </w:r>
      <w:r w:rsidR="00A24389">
        <w:rPr>
          <w:rFonts w:ascii="Verdana" w:eastAsia="Times New Roman" w:hAnsi="Verdana"/>
          <w:sz w:val="18"/>
          <w:szCs w:val="18"/>
        </w:rPr>
        <w:t xml:space="preserve">Eveneens is het zo </w:t>
      </w:r>
      <w:r w:rsidR="00A24389">
        <w:rPr>
          <w:rFonts w:ascii="Verdana" w:hAnsi="Verdana"/>
          <w:sz w:val="18"/>
          <w:szCs w:val="18"/>
        </w:rPr>
        <w:t>dat alle regelingen die voor marktpartijen openstaan (bijvoorbeeld innovatiesubsidies), ook open staan voor coöperaties.</w:t>
      </w:r>
      <w:r>
        <w:rPr>
          <w:rFonts w:ascii="Verdana" w:hAnsi="Verdana"/>
          <w:sz w:val="18"/>
          <w:szCs w:val="18"/>
        </w:rPr>
        <w:t xml:space="preserve"> Zowel bij RVO, </w:t>
      </w:r>
      <w:r w:rsidR="00897653">
        <w:rPr>
          <w:rFonts w:ascii="Verdana" w:hAnsi="Verdana"/>
          <w:sz w:val="18"/>
          <w:szCs w:val="18"/>
        </w:rPr>
        <w:t xml:space="preserve">bij </w:t>
      </w:r>
      <w:r>
        <w:rPr>
          <w:rFonts w:ascii="Verdana" w:hAnsi="Verdana"/>
          <w:sz w:val="18"/>
          <w:szCs w:val="18"/>
        </w:rPr>
        <w:t xml:space="preserve">Klimaatstichting HIER als bij de koepelorganisatie Energie Samen bestaat veel kennis over de diverse regelingen. RVO communiceert ook actief over regelingen die openstaan en geeft hierbij aan voor welke doelgroep deze beschikbaar zijn. </w:t>
      </w:r>
    </w:p>
    <w:p w14:paraId="1F30094D" w14:textId="77777777" w:rsidR="005A3376" w:rsidRDefault="005A3376" w:rsidP="002365D0">
      <w:pPr>
        <w:pStyle w:val="Geenafstand"/>
        <w:spacing w:line="240" w:lineRule="atLeast"/>
        <w:rPr>
          <w:rFonts w:ascii="Verdana" w:hAnsi="Verdana"/>
          <w:sz w:val="18"/>
          <w:szCs w:val="18"/>
        </w:rPr>
      </w:pPr>
    </w:p>
    <w:p w14:paraId="10E19DE0" w14:textId="77777777" w:rsidR="00CC21ED" w:rsidRDefault="00335B0C" w:rsidP="002365D0">
      <w:pPr>
        <w:pStyle w:val="Geenafstand"/>
        <w:spacing w:line="240" w:lineRule="atLeast"/>
        <w:rPr>
          <w:rFonts w:ascii="Verdana" w:hAnsi="Verdana"/>
          <w:sz w:val="18"/>
          <w:szCs w:val="18"/>
        </w:rPr>
      </w:pPr>
      <w:r>
        <w:rPr>
          <w:rFonts w:ascii="Verdana" w:hAnsi="Verdana"/>
          <w:sz w:val="18"/>
          <w:szCs w:val="18"/>
        </w:rPr>
        <w:t xml:space="preserve">Door middel van </w:t>
      </w:r>
      <w:r w:rsidR="005A3376">
        <w:rPr>
          <w:rFonts w:ascii="Verdana" w:hAnsi="Verdana"/>
          <w:sz w:val="18"/>
          <w:szCs w:val="18"/>
        </w:rPr>
        <w:t xml:space="preserve">de regelingen die openstaan voor energiecoöperaties, tezamen met de SCE 2023, ondersteun ik de coöperatieve energiebeweging waar nodig zo goed mogelijk zodat zij </w:t>
      </w:r>
      <w:r>
        <w:rPr>
          <w:rFonts w:ascii="Verdana" w:hAnsi="Verdana"/>
          <w:sz w:val="18"/>
          <w:szCs w:val="18"/>
        </w:rPr>
        <w:t xml:space="preserve">haar </w:t>
      </w:r>
      <w:r w:rsidR="005A3376">
        <w:rPr>
          <w:rFonts w:ascii="Verdana" w:hAnsi="Verdana"/>
          <w:sz w:val="18"/>
          <w:szCs w:val="18"/>
        </w:rPr>
        <w:t xml:space="preserve">significante bijdrage </w:t>
      </w:r>
      <w:r>
        <w:rPr>
          <w:rFonts w:ascii="Verdana" w:hAnsi="Verdana"/>
          <w:sz w:val="18"/>
          <w:szCs w:val="18"/>
        </w:rPr>
        <w:t xml:space="preserve">kan </w:t>
      </w:r>
      <w:r w:rsidR="005A3376">
        <w:rPr>
          <w:rFonts w:ascii="Verdana" w:hAnsi="Verdana"/>
          <w:sz w:val="18"/>
          <w:szCs w:val="18"/>
        </w:rPr>
        <w:t xml:space="preserve">leveren aan de energietransitie in Nederland. </w:t>
      </w:r>
    </w:p>
    <w:p w14:paraId="3A72581E" w14:textId="77777777" w:rsidR="00D22441" w:rsidRDefault="00D22441" w:rsidP="002365D0"/>
    <w:p w14:paraId="4FAB4426" w14:textId="77777777" w:rsidR="00134382" w:rsidRDefault="00134382" w:rsidP="002365D0"/>
    <w:p w14:paraId="78624A0E" w14:textId="77777777" w:rsidR="002365D0" w:rsidRDefault="002365D0" w:rsidP="002365D0"/>
    <w:p w14:paraId="6DBFFCA2" w14:textId="77777777" w:rsidR="002365D0" w:rsidRDefault="002365D0" w:rsidP="002365D0"/>
    <w:p w14:paraId="794BD54C" w14:textId="77777777" w:rsidR="00134382" w:rsidRDefault="00134382" w:rsidP="002365D0"/>
    <w:p w14:paraId="6D42CDF3" w14:textId="77777777" w:rsidR="00C90702" w:rsidRPr="005C65B5" w:rsidRDefault="00C90702" w:rsidP="002365D0"/>
    <w:p w14:paraId="36E3E188" w14:textId="77777777" w:rsidR="00C90702" w:rsidRPr="00F322C6" w:rsidRDefault="00335B0C" w:rsidP="002365D0">
      <w:pPr>
        <w:rPr>
          <w:szCs w:val="18"/>
        </w:rPr>
      </w:pPr>
      <w:r w:rsidRPr="00F322C6">
        <w:rPr>
          <w:szCs w:val="18"/>
        </w:rPr>
        <w:t xml:space="preserve">R.A.A. Jetten </w:t>
      </w:r>
    </w:p>
    <w:p w14:paraId="5F4FFACB" w14:textId="77777777" w:rsidR="00664678" w:rsidRDefault="00335B0C" w:rsidP="002365D0">
      <w:pPr>
        <w:rPr>
          <w:rFonts w:cs="Arial"/>
          <w:color w:val="000000"/>
          <w:szCs w:val="18"/>
        </w:rPr>
      </w:pPr>
      <w:r w:rsidRPr="00F322C6">
        <w:rPr>
          <w:rFonts w:cs="Arial"/>
          <w:color w:val="000000"/>
          <w:szCs w:val="18"/>
        </w:rPr>
        <w:t>Minister voor Klimaat en Energie</w:t>
      </w:r>
    </w:p>
    <w:p w14:paraId="1A55162A" w14:textId="77777777" w:rsidR="005A3376" w:rsidRDefault="005A3376" w:rsidP="002365D0">
      <w:pPr>
        <w:rPr>
          <w:rFonts w:cs="Arial"/>
          <w:color w:val="000000"/>
          <w:szCs w:val="18"/>
        </w:rPr>
      </w:pPr>
    </w:p>
    <w:p w14:paraId="4D40099F" w14:textId="77777777" w:rsidR="005A3376" w:rsidRDefault="005A3376" w:rsidP="002365D0">
      <w:pPr>
        <w:rPr>
          <w:rFonts w:cs="Arial"/>
          <w:color w:val="000000"/>
          <w:szCs w:val="18"/>
        </w:rPr>
      </w:pPr>
    </w:p>
    <w:p w14:paraId="2CBDF3BA" w14:textId="77777777" w:rsidR="005A3376" w:rsidRDefault="00335B0C" w:rsidP="002365D0">
      <w:pPr>
        <w:rPr>
          <w:rFonts w:cs="Arial"/>
          <w:color w:val="000000"/>
          <w:szCs w:val="18"/>
        </w:rPr>
      </w:pPr>
      <w:r>
        <w:rPr>
          <w:rFonts w:cs="Arial"/>
          <w:color w:val="000000"/>
          <w:szCs w:val="18"/>
        </w:rPr>
        <w:br w:type="page"/>
      </w:r>
    </w:p>
    <w:p w14:paraId="0E3BEDAE" w14:textId="77777777" w:rsidR="005A3376" w:rsidRPr="005A3376" w:rsidRDefault="00335B0C" w:rsidP="002365D0">
      <w:pPr>
        <w:rPr>
          <w:b/>
          <w:bCs/>
        </w:rPr>
      </w:pPr>
      <w:r w:rsidRPr="005A3376">
        <w:rPr>
          <w:b/>
          <w:bCs/>
        </w:rPr>
        <w:lastRenderedPageBreak/>
        <w:t xml:space="preserve">Bijlage 1: Motie Kröger over </w:t>
      </w:r>
      <w:r>
        <w:rPr>
          <w:b/>
          <w:bCs/>
        </w:rPr>
        <w:t>q</w:t>
      </w:r>
      <w:r w:rsidRPr="005A3376">
        <w:rPr>
          <w:b/>
          <w:bCs/>
        </w:rPr>
        <w:t>uick</w:t>
      </w:r>
      <w:r>
        <w:rPr>
          <w:b/>
          <w:bCs/>
        </w:rPr>
        <w:t>s</w:t>
      </w:r>
      <w:r w:rsidRPr="005A3376">
        <w:rPr>
          <w:b/>
          <w:bCs/>
        </w:rPr>
        <w:t xml:space="preserve">can coöperatieve </w:t>
      </w:r>
      <w:r>
        <w:rPr>
          <w:b/>
          <w:bCs/>
        </w:rPr>
        <w:t>SDE++-</w:t>
      </w:r>
      <w:r w:rsidRPr="005A3376">
        <w:rPr>
          <w:b/>
          <w:bCs/>
        </w:rPr>
        <w:t xml:space="preserve">projecten </w:t>
      </w:r>
    </w:p>
    <w:p w14:paraId="2C19EE26" w14:textId="77777777" w:rsidR="005A3376" w:rsidRDefault="005A3376" w:rsidP="002365D0">
      <w:pPr>
        <w:rPr>
          <w:i/>
          <w:iCs/>
        </w:rPr>
      </w:pPr>
    </w:p>
    <w:p w14:paraId="79D1FBA5" w14:textId="77777777" w:rsidR="005A3376" w:rsidRPr="005A3376" w:rsidRDefault="00335B0C" w:rsidP="002365D0">
      <w:pPr>
        <w:rPr>
          <w:i/>
          <w:iCs/>
        </w:rPr>
      </w:pPr>
      <w:r w:rsidRPr="005A3376">
        <w:rPr>
          <w:i/>
          <w:iCs/>
        </w:rPr>
        <w:t>Realisatiegraad coöperatieve SDE+(+)-projecten</w:t>
      </w:r>
    </w:p>
    <w:p w14:paraId="07AFF2F7" w14:textId="77777777" w:rsidR="005A3376" w:rsidRPr="005A3376" w:rsidRDefault="00335B0C" w:rsidP="002365D0">
      <w:r w:rsidRPr="005A3376">
        <w:t>RVO voert de SDE++-regeling namens mij uit en heeft zodoende inzicht in de karakteristieken van de verschillende typen aanvragers en projecten. Daarnaast geeft de Lokale Energie Monitor van Klimaatstichting HIER jaarlijks inzicht in de voortgang van</w:t>
      </w:r>
      <w:r w:rsidR="002678E1">
        <w:t xml:space="preserve"> coöperatieve energi</w:t>
      </w:r>
      <w:r w:rsidR="002678E1" w:rsidRPr="005A3376">
        <w:t>eprojecten</w:t>
      </w:r>
      <w:r w:rsidR="002678E1">
        <w:t>.</w:t>
      </w:r>
      <w:r w:rsidRPr="005A3376">
        <w:t xml:space="preserve"> Op basis van beide bronnen kom ik tot de volgende analyse.  </w:t>
      </w:r>
    </w:p>
    <w:p w14:paraId="04089153" w14:textId="77777777" w:rsidR="005A3376" w:rsidRPr="005A3376" w:rsidRDefault="005A3376" w:rsidP="002365D0"/>
    <w:p w14:paraId="57BBDB57" w14:textId="77777777" w:rsidR="005A3376" w:rsidRPr="005A3376" w:rsidRDefault="00335B0C" w:rsidP="002365D0">
      <w:r w:rsidRPr="005A3376">
        <w:t>Coöperatieve projecten in de SDE++ zijn hoofdzakelijk zonprojecten (op dak). Qua realisatie ziet RVO geen verschil tussen coöperatieve en overige</w:t>
      </w:r>
      <w:r w:rsidR="002365D0">
        <w:t xml:space="preserve"> </w:t>
      </w:r>
      <w:r w:rsidRPr="005A3376">
        <w:t>SDE++-zonprojecten. RVO ziet dat per ronde van het totale aangevraagde vermogen uiteindelijk ongeveer 50% wordt gerealiseerd bij zowel coöperatieve zonprojecten als overige zonprojecten in de periode 2015 tot en met nu. Kijkend naar de aantallen zonprojecten die worden gerealiseerd (in plaats van het vermogen), ziet RVO wel dat de realisatiegraad van coöperaties iets lager lijkt. RVO geeft hierbij aan dat het aandeel coöperaties in de gehele SDE+(+)-dataset van duizenden zonprojecten heel erg laag is (omdat het aantal niet-coöperatieve zonprojecten heel hoog is), waardoor niet gesteld kan worden dat dit verschil significant is.</w:t>
      </w:r>
    </w:p>
    <w:p w14:paraId="5CDA8FAA" w14:textId="77777777" w:rsidR="005A3376" w:rsidRPr="005A3376" w:rsidRDefault="005A3376" w:rsidP="002365D0"/>
    <w:p w14:paraId="47C65EA6" w14:textId="77777777" w:rsidR="005A3376" w:rsidRPr="005A3376" w:rsidRDefault="00335B0C" w:rsidP="002365D0">
      <w:r w:rsidRPr="005A3376">
        <w:t>Niettemin stel ik vast dat een realisatiepercentage van rond de 50% onwenselijk laag is en afbreuk doet aan de effectiviteit van de SDE++. Daarom heb ik reeds actie ondernomen om de realisatiegraad van zonprojecten te verhogen. Zo is in de SDE++-ronde van 2022 een dakconstructieverklaring van een constructeur vereist, die aantoont dat het beoogde dak constructief geschikt is voor zonnepanelen. Voor meer informatie over de realisatiegraad van SDE+(+)-projecten en de redenen voor uitval verwijs ik naar de Monitor Zon-PV van RVO</w:t>
      </w:r>
      <w:r>
        <w:rPr>
          <w:vertAlign w:val="superscript"/>
        </w:rPr>
        <w:footnoteReference w:id="2"/>
      </w:r>
      <w:r w:rsidRPr="005A3376">
        <w:t>. Een algemene analyse van het aantal coöperatieve projecten dat jaarlijks daadwerkelijk realiseert met SDE++ is te vinden in de Lokale Energie Monitor van Stichting HIER Opgewekt</w:t>
      </w:r>
      <w:r>
        <w:rPr>
          <w:vertAlign w:val="superscript"/>
        </w:rPr>
        <w:footnoteReference w:id="3"/>
      </w:r>
      <w:r w:rsidRPr="005A3376">
        <w:t>.</w:t>
      </w:r>
    </w:p>
    <w:p w14:paraId="2029E3BE" w14:textId="77777777" w:rsidR="005A3376" w:rsidRPr="005A3376" w:rsidRDefault="005A3376" w:rsidP="002365D0"/>
    <w:p w14:paraId="0212B6E9" w14:textId="77777777" w:rsidR="005A3376" w:rsidRPr="005A3376" w:rsidRDefault="00335B0C" w:rsidP="002365D0">
      <w:pPr>
        <w:rPr>
          <w:i/>
          <w:iCs/>
        </w:rPr>
      </w:pPr>
      <w:r w:rsidRPr="005A3376">
        <w:rPr>
          <w:i/>
          <w:iCs/>
        </w:rPr>
        <w:t xml:space="preserve">Obstakels </w:t>
      </w:r>
    </w:p>
    <w:p w14:paraId="22FFB5AE" w14:textId="77777777" w:rsidR="005A3376" w:rsidRPr="005A3376" w:rsidRDefault="00335B0C" w:rsidP="002365D0">
      <w:r w:rsidRPr="005A3376">
        <w:t xml:space="preserve">Er zijn diverse redenen waarom zonprojecten in de SDE++ uiteindelijk niet gerealiseerd worden . De Monitor Zon-PV van 2022 geeft als voornaamste redenen voor non-realisatie van zonprojecten: ontoereikende dakconstructie, netcongestie en verzekerbaarheid van de zonnepanelen. De Lokale Energie Monitor 2020 geeft als hoofdredenen waarom specifiek coöperatieve projecten in 2020 niet of later realiseerden: vertraging bij planologische procedures, netcongestie, problemen met de dakeigenaar, complexe financiering en tegenvallende ledenwerving. Op enkele punten heb ik reeds binnen de SDE++ maatregelen getroffen, zoals de eis om zonprojecten op 50% van het piekvermogen van de zonnepanelen aan te sluiten en de modelverklaring Toestemmingsverklaring locatie-eigenaar. Voor een deel liggen deze knelpunten buiten het bereik van de SDE++. Voor een ander deel zijn deze knelpunten inherent aan projecten die worden uitgevoerd door coöperaties. Een recente </w:t>
      </w:r>
      <w:r w:rsidRPr="005A3376">
        <w:lastRenderedPageBreak/>
        <w:t>enquête</w:t>
      </w:r>
      <w:r>
        <w:rPr>
          <w:vertAlign w:val="superscript"/>
        </w:rPr>
        <w:footnoteReference w:id="4"/>
      </w:r>
      <w:r w:rsidRPr="005A3376">
        <w:t xml:space="preserve"> van Klimaatstichting HIER onder coöperaties met projecten die subsidie krijgen onder</w:t>
      </w:r>
      <w:r w:rsidR="002365D0">
        <w:t xml:space="preserve"> </w:t>
      </w:r>
      <w:r w:rsidRPr="005A3376">
        <w:t>de SCE bevestigt dit beeld. Naast het niet kunnen rondkrijgen van de business case, worden hierin ook netcongestie, onvoldoende geschiktheid van het dak, terugtrekking van de dakeigenaar en ledenwerving als redenen genoemd voor uiteindelijke non-realisatie of vertraging van projecten. Behalve de complexere financiering en de ledenwerving zijn deze genoemde obstakels voor coöperaties niet anders dan voor andere typen aanvragers. RVO merkt wel op dat coöperaties in de projectontwikkeling soms wat achter lijken te lopen ten opzichte van commerciële initiatieven, bijvoorbeeld doordat beslissingen vanwege ledenwerving of afstemming langer kunnen duren.</w:t>
      </w:r>
    </w:p>
    <w:p w14:paraId="46E98E0F" w14:textId="77777777" w:rsidR="005A3376" w:rsidRPr="005A3376" w:rsidRDefault="005A3376" w:rsidP="002365D0"/>
    <w:p w14:paraId="08FBA8A0" w14:textId="77777777" w:rsidR="005A3376" w:rsidRPr="005A3376" w:rsidRDefault="00335B0C" w:rsidP="002365D0">
      <w:pPr>
        <w:rPr>
          <w:i/>
          <w:iCs/>
        </w:rPr>
      </w:pPr>
      <w:r w:rsidRPr="005A3376">
        <w:rPr>
          <w:i/>
          <w:iCs/>
        </w:rPr>
        <w:t xml:space="preserve">Nadelen coöperatieve initiatieven in de SDE++ en oplossingen </w:t>
      </w:r>
    </w:p>
    <w:p w14:paraId="3980A711" w14:textId="77777777" w:rsidR="005A3376" w:rsidRPr="005A3376" w:rsidRDefault="00335B0C" w:rsidP="002365D0">
      <w:r w:rsidRPr="005A3376">
        <w:t xml:space="preserve">Voorop staat dat RVO aanvragers gelijk behandelt. Binnen de regeling of voorwaarden daarvan kan een specifiek type aanvrager dus geen voor- of nadelen ondervinden ten opzichte van een ander type aanvrager in dezelfde categorie. Wel kunnen overige drempels, buiten de regeling om, bij een type aanvrager in grotere mate spelen. Coöperaties zijn anders van aard dan commerciële marktpartijen. Zij zijn vaak kleinschaliger, lokaal en draaien bijvoorbeeld (deels) met behulp van vrijwilligers. Dit kan ertoe leiden dat zij obstakels ondervinden bij het voldoen aan de voorwaarden die andere partijen niet hebben, omdat zij bijvoorbeeld binnen dezelfde termijn wel leden moeten werven terwijl andere aanvragers dat niet hoeven. Daarentegen kennen coöperaties ook voordelen waardoor ze eerder een aanvraag kunnen indienen, bijvoorbeeld aangaande groter draagvlak of gemakkelijkere inpassing in de omgeving. </w:t>
      </w:r>
    </w:p>
    <w:p w14:paraId="1795FFB6" w14:textId="77777777" w:rsidR="005A3376" w:rsidRPr="005A3376" w:rsidRDefault="005A3376" w:rsidP="002365D0"/>
    <w:p w14:paraId="707F95FF" w14:textId="77777777" w:rsidR="005A3376" w:rsidRPr="005A3376" w:rsidRDefault="00335B0C" w:rsidP="002365D0">
      <w:r w:rsidRPr="005A3376">
        <w:t xml:space="preserve">Kleinere projecten van coöperaties kunnen meedoen aan de SCE die bedoeld is voor kleinschalige, lokale initiatieven. Deze regeling houdt in de vormgeving en subsidietarieven rekening met het ontbreken van een winstoogmerk en met de inzet van vrijwilligers. In deze regeling concurreren coöperatieve projecten niet met commerciële aanvragers om subsidie. Voor grotere coöperatieve projecten, die vaak van een organisatie zijn die eerder ervaring heeft opgedaan met andere projecten, is er de SDE++. Daarin moeten coöperaties aan dezelfde voorwaarden voldoen als andere aanvragers, dus ook marktpartijen. Maar hierbij ga ik ervan uit dat zij ook meer schaalvoordelen kunnen realiseren omdat zij grootschaliger zijn, professioneler te werk kunnen gaan en bijvoorbeeld al ervaring hebben met eerdere projecten. </w:t>
      </w:r>
    </w:p>
    <w:p w14:paraId="69AA5045" w14:textId="77777777" w:rsidR="005A3376" w:rsidRPr="005A3376" w:rsidRDefault="005A3376" w:rsidP="002365D0"/>
    <w:p w14:paraId="45D651FD" w14:textId="77777777" w:rsidR="005A3376" w:rsidRPr="005A3376" w:rsidRDefault="00335B0C" w:rsidP="002365D0">
      <w:r w:rsidRPr="005A3376">
        <w:t xml:space="preserve">De SDE++ is een generieke regeling waarbij ik niet naar type aanvrager kan differentiëren. De regeling zal jaarlijks zo goed en passend mogelijk opengesteld worden voor alle beoogde groepen van aanvragers. Dit gebeurt op advies van PBL, dat in haar berekeningen kijkt naar de juiste tarieven en referentie-installaties voor de beoogde doelgroep. De SCE heb ik voor aankomend jaar zo vormgegeven dat deze zo goed mogelijk de (kleinere) coöperatieve projecten ondersteunt. In de SCE van 2023 heb ik daarom ten opzichte van dit jaar enkele wijzigingen doorgevoerd, zoals eerder in deze brief uitvoering beschreven. De langere termijn voor het aanleveren van het recht van opstal en de ledenlijst zorgt ervoor dat coöperaties meer tijd hebben voor dit proces en het zodoende beter en </w:t>
      </w:r>
      <w:r w:rsidRPr="005A3376">
        <w:lastRenderedPageBreak/>
        <w:t xml:space="preserve">zorgvuldiger kunnen doorlopen. De versoepelde eisen ten aanzien van het aantal leden in de postcoderoos bij </w:t>
      </w:r>
      <w:r w:rsidR="001C5DFA">
        <w:t>VvE’s</w:t>
      </w:r>
      <w:r w:rsidRPr="005A3376">
        <w:t xml:space="preserve"> </w:t>
      </w:r>
      <w:r w:rsidR="001C5DFA">
        <w:t>en</w:t>
      </w:r>
      <w:r w:rsidRPr="005A3376">
        <w:t xml:space="preserve"> het percentage kleinverbruikaansluitingen bij VvE’s zorgen ervoor dat er meer coöperatieve projecten in aanmerkingen komen voor subsidie. De </w:t>
      </w:r>
      <w:r w:rsidR="001C5DFA">
        <w:t xml:space="preserve">verklaring geschiktheid dak of gevel </w:t>
      </w:r>
      <w:r w:rsidRPr="005A3376">
        <w:t xml:space="preserve">die in 2023 verplicht wordt, zorgt ervoor dat eventuele problemen met het dak al in een eerder stadium bekend worden en niet op een later moment voor uitval van projecten zorgen. De eis om projecten op een grootverbruikersaansluiting op 50% van het piekvermogen aan te sluiten op het elektriciteitsnet zorgt ervoor dat de netbelasting van projecten daalt. Tezamen heb ik er vertrouwen in dat deze maatregelen een deel van de knelpunten, voor zover binnen het bereik van de regeling, zullen wegnemen. Zo geef ik gehoor aan de oproep in deze motie en werk ik, in goed overleg met </w:t>
      </w:r>
      <w:r w:rsidR="002678E1">
        <w:t>energiecoöperaties en VvE’s</w:t>
      </w:r>
      <w:r w:rsidRPr="005A3376">
        <w:t xml:space="preserve">, toe naar steeds beter passende regelingen. </w:t>
      </w:r>
    </w:p>
    <w:p w14:paraId="4A143877" w14:textId="77777777" w:rsidR="005A3376" w:rsidRDefault="005A3376" w:rsidP="002365D0"/>
    <w:sectPr w:rsidR="005A3376" w:rsidSect="00D604B3">
      <w:headerReference w:type="default" r:id="rId10"/>
      <w:footerReference w:type="default" r:id="rId11"/>
      <w:headerReference w:type="first" r:id="rId12"/>
      <w:footerReference w:type="first" r:id="rId13"/>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021E" w14:textId="77777777" w:rsidR="003C6CEF" w:rsidRDefault="00335B0C">
      <w:pPr>
        <w:spacing w:line="240" w:lineRule="auto"/>
      </w:pPr>
      <w:r>
        <w:separator/>
      </w:r>
    </w:p>
  </w:endnote>
  <w:endnote w:type="continuationSeparator" w:id="0">
    <w:p w14:paraId="7BF2003B" w14:textId="77777777" w:rsidR="003C6CEF" w:rsidRDefault="00335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EF4F"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BF5C9C" w14:paraId="67D9BF6D" w14:textId="77777777" w:rsidTr="00CA6A25">
      <w:trPr>
        <w:trHeight w:hRule="exact" w:val="240"/>
      </w:trPr>
      <w:tc>
        <w:tcPr>
          <w:tcW w:w="7601" w:type="dxa"/>
          <w:shd w:val="clear" w:color="auto" w:fill="auto"/>
        </w:tcPr>
        <w:p w14:paraId="1742A39C" w14:textId="77777777" w:rsidR="00527BD4" w:rsidRDefault="00527BD4" w:rsidP="003F1F6B">
          <w:pPr>
            <w:pStyle w:val="Huisstijl-Rubricering"/>
          </w:pPr>
        </w:p>
      </w:tc>
      <w:tc>
        <w:tcPr>
          <w:tcW w:w="2156" w:type="dxa"/>
        </w:tcPr>
        <w:p w14:paraId="728B5F73" w14:textId="269C5C9F" w:rsidR="00527BD4" w:rsidRPr="00645414" w:rsidRDefault="00335B0C"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11</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rsidR="007326CC">
            <w:t>11</w:t>
          </w:r>
          <w:r w:rsidR="00721AE1">
            <w:fldChar w:fldCharType="end"/>
          </w:r>
        </w:p>
      </w:tc>
    </w:tr>
  </w:tbl>
  <w:p w14:paraId="2791B428" w14:textId="77777777"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BF5C9C" w14:paraId="3C646649" w14:textId="77777777" w:rsidTr="00CA6A25">
      <w:trPr>
        <w:trHeight w:hRule="exact" w:val="240"/>
      </w:trPr>
      <w:tc>
        <w:tcPr>
          <w:tcW w:w="7601" w:type="dxa"/>
          <w:shd w:val="clear" w:color="auto" w:fill="auto"/>
        </w:tcPr>
        <w:p w14:paraId="21858B7C" w14:textId="77777777" w:rsidR="00527BD4" w:rsidRDefault="00527BD4" w:rsidP="008C356D">
          <w:pPr>
            <w:pStyle w:val="Huisstijl-Rubricering"/>
          </w:pPr>
        </w:p>
      </w:tc>
      <w:tc>
        <w:tcPr>
          <w:tcW w:w="2170" w:type="dxa"/>
        </w:tcPr>
        <w:p w14:paraId="1B44E07A" w14:textId="0FC65555" w:rsidR="00527BD4" w:rsidRPr="00ED539E" w:rsidRDefault="00335B0C"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r w:rsidR="00A413B4">
            <w:fldChar w:fldCharType="begin"/>
          </w:r>
          <w:r>
            <w:instrText xml:space="preserve"> SECTIONPAGES   \* MERGEFORMAT </w:instrText>
          </w:r>
          <w:r w:rsidR="00A413B4">
            <w:fldChar w:fldCharType="separate"/>
          </w:r>
          <w:r w:rsidR="007326CC">
            <w:t>11</w:t>
          </w:r>
          <w:r w:rsidR="00A413B4">
            <w:fldChar w:fldCharType="end"/>
          </w:r>
        </w:p>
      </w:tc>
    </w:tr>
  </w:tbl>
  <w:p w14:paraId="72B4E0AC" w14:textId="77777777" w:rsidR="00527BD4" w:rsidRPr="00BC3B53" w:rsidRDefault="00527BD4" w:rsidP="008C356D">
    <w:pPr>
      <w:pStyle w:val="Voettekst"/>
      <w:spacing w:line="240" w:lineRule="auto"/>
      <w:rPr>
        <w:sz w:val="2"/>
        <w:szCs w:val="2"/>
      </w:rPr>
    </w:pPr>
  </w:p>
  <w:p w14:paraId="201C24BE"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1A1B" w14:textId="77777777" w:rsidR="006A7E69" w:rsidRDefault="00335B0C">
      <w:pPr>
        <w:spacing w:line="240" w:lineRule="auto"/>
      </w:pPr>
      <w:r>
        <w:separator/>
      </w:r>
    </w:p>
  </w:footnote>
  <w:footnote w:type="continuationSeparator" w:id="0">
    <w:p w14:paraId="109C743D" w14:textId="77777777" w:rsidR="006A7E69" w:rsidRDefault="00335B0C">
      <w:pPr>
        <w:spacing w:line="240" w:lineRule="auto"/>
      </w:pPr>
      <w:r>
        <w:continuationSeparator/>
      </w:r>
    </w:p>
  </w:footnote>
  <w:footnote w:id="1">
    <w:p w14:paraId="6BB5F19D" w14:textId="77777777" w:rsidR="00C31FC7" w:rsidRDefault="00335B0C">
      <w:pPr>
        <w:pStyle w:val="Voetnoottekst"/>
      </w:pPr>
      <w:r>
        <w:rPr>
          <w:rStyle w:val="Voetnootmarkering"/>
        </w:rPr>
        <w:footnoteRef/>
      </w:r>
      <w:r>
        <w:t xml:space="preserve"> </w:t>
      </w:r>
      <w:r w:rsidR="000027B0">
        <w:t xml:space="preserve">Het Eindadvies voor de SCE 2023 is te vinden op </w:t>
      </w:r>
      <w:r w:rsidR="000027B0" w:rsidRPr="000027B0">
        <w:t>https://www.pbl.nl/publicaties</w:t>
      </w:r>
    </w:p>
  </w:footnote>
  <w:footnote w:id="2">
    <w:p w14:paraId="3E02F837" w14:textId="77777777" w:rsidR="005A3376" w:rsidRPr="00335B0C" w:rsidRDefault="00335B0C" w:rsidP="005A3376">
      <w:pPr>
        <w:pStyle w:val="Voetnoottekst"/>
        <w:rPr>
          <w:lang w:val="en-US"/>
        </w:rPr>
      </w:pPr>
      <w:r>
        <w:rPr>
          <w:rStyle w:val="Voetnootmarkering"/>
        </w:rPr>
        <w:footnoteRef/>
      </w:r>
      <w:r w:rsidRPr="00335B0C">
        <w:rPr>
          <w:lang w:val="en-US"/>
        </w:rPr>
        <w:t xml:space="preserve"> </w:t>
      </w:r>
      <w:hyperlink w:history="1">
        <w:r w:rsidRPr="00335B0C">
          <w:rPr>
            <w:b/>
            <w:lang w:val="en-US"/>
          </w:rPr>
          <w:t>Error! Hyperlink reference not valid.</w:t>
        </w:r>
      </w:hyperlink>
      <w:r w:rsidRPr="00335B0C">
        <w:rPr>
          <w:lang w:val="en-US"/>
        </w:rPr>
        <w:t>https://www.rijksoverheid.nl/documenten/rapporten/2022/09/30/monitor-zon-pv-2022-in-nederland</w:t>
      </w:r>
    </w:p>
  </w:footnote>
  <w:footnote w:id="3">
    <w:p w14:paraId="12F92A47" w14:textId="77777777" w:rsidR="005A3376" w:rsidRPr="00335B0C" w:rsidRDefault="00335B0C" w:rsidP="005A3376">
      <w:pPr>
        <w:pStyle w:val="Voetnoottekst"/>
        <w:rPr>
          <w:lang w:val="en-US"/>
        </w:rPr>
      </w:pPr>
      <w:r>
        <w:rPr>
          <w:rStyle w:val="Voetnootmarkering"/>
        </w:rPr>
        <w:footnoteRef/>
      </w:r>
      <w:r w:rsidRPr="00335B0C">
        <w:rPr>
          <w:lang w:val="en-US"/>
        </w:rPr>
        <w:t xml:space="preserve"> https://www.hieropgewekt.nl/lokale-energie-monitor</w:t>
      </w:r>
    </w:p>
  </w:footnote>
  <w:footnote w:id="4">
    <w:p w14:paraId="7BD7A687" w14:textId="77777777" w:rsidR="005A3376" w:rsidRPr="00335B0C" w:rsidRDefault="00335B0C" w:rsidP="005A3376">
      <w:pPr>
        <w:pStyle w:val="Voetnoottekst"/>
        <w:rPr>
          <w:lang w:val="en-US"/>
        </w:rPr>
      </w:pPr>
      <w:r>
        <w:rPr>
          <w:rStyle w:val="Voetnootmarkering"/>
        </w:rPr>
        <w:footnoteRef/>
      </w:r>
      <w:r w:rsidRPr="00335B0C">
        <w:rPr>
          <w:lang w:val="en-US"/>
        </w:rPr>
        <w:t xml:space="preserve"> https://www.hieropgewekt.nl/nieuws/uitkomsten-enquete-subsidieregeling-cooperatieve-energieopwekking-2022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BF5C9C" w14:paraId="60E018F5" w14:textId="77777777" w:rsidTr="00A50CF6">
      <w:tc>
        <w:tcPr>
          <w:tcW w:w="2156" w:type="dxa"/>
          <w:shd w:val="clear" w:color="auto" w:fill="auto"/>
        </w:tcPr>
        <w:p w14:paraId="2C9B678B" w14:textId="77777777" w:rsidR="00527BD4" w:rsidRPr="005819CE" w:rsidRDefault="00335B0C" w:rsidP="00A50CF6">
          <w:pPr>
            <w:pStyle w:val="Huisstijl-Adres"/>
            <w:rPr>
              <w:b/>
            </w:rPr>
          </w:pPr>
          <w:r>
            <w:rPr>
              <w:b/>
            </w:rPr>
            <w:t>Directoraat-generaal Klimaat en Energie</w:t>
          </w:r>
          <w:r w:rsidRPr="005819CE">
            <w:rPr>
              <w:b/>
            </w:rPr>
            <w:br/>
          </w:r>
          <w:r>
            <w:t>Directie Strategie Energiesysteem</w:t>
          </w:r>
        </w:p>
      </w:tc>
    </w:tr>
    <w:tr w:rsidR="00BF5C9C" w14:paraId="4646DDF2" w14:textId="77777777" w:rsidTr="00A50CF6">
      <w:trPr>
        <w:trHeight w:hRule="exact" w:val="200"/>
      </w:trPr>
      <w:tc>
        <w:tcPr>
          <w:tcW w:w="2156" w:type="dxa"/>
          <w:shd w:val="clear" w:color="auto" w:fill="auto"/>
        </w:tcPr>
        <w:p w14:paraId="102A6A90" w14:textId="77777777" w:rsidR="00527BD4" w:rsidRPr="005819CE" w:rsidRDefault="00527BD4" w:rsidP="00A50CF6"/>
      </w:tc>
    </w:tr>
    <w:tr w:rsidR="00BF5C9C" w14:paraId="0091A0E0" w14:textId="77777777" w:rsidTr="00502512">
      <w:trPr>
        <w:trHeight w:hRule="exact" w:val="774"/>
      </w:trPr>
      <w:tc>
        <w:tcPr>
          <w:tcW w:w="2156" w:type="dxa"/>
          <w:shd w:val="clear" w:color="auto" w:fill="auto"/>
        </w:tcPr>
        <w:p w14:paraId="27BD5945" w14:textId="77777777" w:rsidR="00527BD4" w:rsidRDefault="00335B0C" w:rsidP="003A5290">
          <w:pPr>
            <w:pStyle w:val="Huisstijl-Kopje"/>
          </w:pPr>
          <w:r>
            <w:t>Ons kenmerk</w:t>
          </w:r>
        </w:p>
        <w:p w14:paraId="26166311" w14:textId="77777777" w:rsidR="00502512" w:rsidRPr="00502512" w:rsidRDefault="00335B0C" w:rsidP="003A5290">
          <w:pPr>
            <w:pStyle w:val="Huisstijl-Kopje"/>
            <w:rPr>
              <w:b w:val="0"/>
            </w:rPr>
          </w:pPr>
          <w:r>
            <w:rPr>
              <w:b w:val="0"/>
            </w:rPr>
            <w:t>DGKE-DSE</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22436004</w:t>
              </w:r>
              <w:r w:rsidR="00721AE1">
                <w:rPr>
                  <w:b w:val="0"/>
                </w:rPr>
                <w:fldChar w:fldCharType="end"/>
              </w:r>
            </w:sdtContent>
          </w:sdt>
        </w:p>
        <w:p w14:paraId="43E34317" w14:textId="77777777" w:rsidR="00527BD4" w:rsidRPr="005819CE" w:rsidRDefault="00527BD4" w:rsidP="00361A56">
          <w:pPr>
            <w:pStyle w:val="Huisstijl-Kopje"/>
          </w:pPr>
        </w:p>
      </w:tc>
    </w:tr>
  </w:tbl>
  <w:p w14:paraId="6DD56AD8" w14:textId="77777777" w:rsidR="00527BD4" w:rsidRDefault="00527BD4" w:rsidP="008C356D">
    <w:pPr>
      <w:pStyle w:val="Koptekst"/>
      <w:rPr>
        <w:rFonts w:cs="Verdana-Bold"/>
        <w:b/>
        <w:bCs/>
        <w:smallCaps/>
        <w:szCs w:val="18"/>
      </w:rPr>
    </w:pPr>
  </w:p>
  <w:p w14:paraId="2F70C686" w14:textId="77777777" w:rsidR="00527BD4" w:rsidRDefault="00527BD4" w:rsidP="008C356D"/>
  <w:p w14:paraId="147CD0D5" w14:textId="77777777" w:rsidR="00527BD4" w:rsidRPr="00740712" w:rsidRDefault="00527BD4" w:rsidP="008C356D"/>
  <w:p w14:paraId="1364402B" w14:textId="77777777" w:rsidR="00527BD4" w:rsidRPr="00217880" w:rsidRDefault="00527BD4" w:rsidP="008C356D">
    <w:pPr>
      <w:spacing w:line="0" w:lineRule="atLeast"/>
      <w:rPr>
        <w:sz w:val="2"/>
        <w:szCs w:val="2"/>
      </w:rPr>
    </w:pPr>
  </w:p>
  <w:p w14:paraId="07FE5B5C" w14:textId="77777777" w:rsidR="00527BD4" w:rsidRDefault="00527BD4" w:rsidP="004F44C2">
    <w:pPr>
      <w:pStyle w:val="Koptekst"/>
      <w:rPr>
        <w:rFonts w:cs="Verdana-Bold"/>
        <w:b/>
        <w:bCs/>
        <w:smallCaps/>
        <w:szCs w:val="18"/>
      </w:rPr>
    </w:pPr>
  </w:p>
  <w:p w14:paraId="44039291" w14:textId="77777777" w:rsidR="00527BD4" w:rsidRDefault="00527BD4" w:rsidP="004F44C2"/>
  <w:p w14:paraId="581A9CB7" w14:textId="77777777" w:rsidR="00527BD4" w:rsidRPr="00740712" w:rsidRDefault="00527BD4" w:rsidP="004F44C2"/>
  <w:p w14:paraId="0FFB02BB"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BF5C9C" w14:paraId="7EAF1AAF" w14:textId="77777777" w:rsidTr="00751A6A">
      <w:trPr>
        <w:trHeight w:val="2636"/>
      </w:trPr>
      <w:tc>
        <w:tcPr>
          <w:tcW w:w="737" w:type="dxa"/>
          <w:shd w:val="clear" w:color="auto" w:fill="auto"/>
        </w:tcPr>
        <w:p w14:paraId="2993599D"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14E19309" w14:textId="77777777" w:rsidR="00527BD4" w:rsidRDefault="00335B0C" w:rsidP="00651CEE">
          <w:pPr>
            <w:rPr>
              <w:szCs w:val="18"/>
            </w:rPr>
          </w:pPr>
          <w:r>
            <w:rPr>
              <w:noProof/>
              <w:szCs w:val="18"/>
            </w:rPr>
            <w:drawing>
              <wp:inline distT="0" distB="0" distL="0" distR="0" wp14:anchorId="3089C1A8" wp14:editId="2FD72512">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249189"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2CD2802F" w14:textId="77777777" w:rsidR="00F034D8" w:rsidRDefault="00F034D8" w:rsidP="00F034D8">
          <w:pPr>
            <w:rPr>
              <w:szCs w:val="18"/>
            </w:rPr>
          </w:pPr>
        </w:p>
        <w:p w14:paraId="228C6298" w14:textId="77777777" w:rsidR="00E2409C" w:rsidRDefault="00E2409C"/>
      </w:tc>
    </w:tr>
  </w:tbl>
  <w:p w14:paraId="1E9FB7FE" w14:textId="77777777" w:rsidR="00527BD4" w:rsidRDefault="00527BD4" w:rsidP="00D0609E">
    <w:pPr>
      <w:framePr w:w="6340" w:h="2750" w:hRule="exact" w:hSpace="180" w:wrap="around" w:vAnchor="page" w:hAnchor="text" w:x="3873" w:y="-140"/>
    </w:pPr>
  </w:p>
  <w:p w14:paraId="70624E08"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BF5C9C" w14:paraId="33F1F73E" w14:textId="77777777" w:rsidTr="00A50CF6">
      <w:tc>
        <w:tcPr>
          <w:tcW w:w="2160" w:type="dxa"/>
          <w:shd w:val="clear" w:color="auto" w:fill="auto"/>
        </w:tcPr>
        <w:p w14:paraId="0658830B" w14:textId="77777777" w:rsidR="00527BD4" w:rsidRPr="005819CE" w:rsidRDefault="00335B0C" w:rsidP="00A50CF6">
          <w:pPr>
            <w:pStyle w:val="Huisstijl-Adres"/>
            <w:rPr>
              <w:b/>
            </w:rPr>
          </w:pPr>
          <w:r>
            <w:rPr>
              <w:b/>
            </w:rPr>
            <w:t>Directoraat-generaal Klimaat en Energie</w:t>
          </w:r>
          <w:r w:rsidRPr="005819CE">
            <w:rPr>
              <w:b/>
            </w:rPr>
            <w:br/>
          </w:r>
          <w:r>
            <w:t>Directie Strategie Energiesysteem</w:t>
          </w:r>
        </w:p>
        <w:p w14:paraId="0CA7F379" w14:textId="77777777" w:rsidR="00527BD4" w:rsidRPr="00BE5ED9" w:rsidRDefault="00335B0C" w:rsidP="00A50CF6">
          <w:pPr>
            <w:pStyle w:val="Huisstijl-Adres"/>
          </w:pPr>
          <w:r>
            <w:rPr>
              <w:b/>
            </w:rPr>
            <w:t>Bezoekadres</w:t>
          </w:r>
          <w:r>
            <w:rPr>
              <w:b/>
            </w:rPr>
            <w:br/>
          </w:r>
          <w:r>
            <w:t>Bezuidenhoutseweg 73</w:t>
          </w:r>
          <w:r w:rsidRPr="005819CE">
            <w:br/>
          </w:r>
          <w:r>
            <w:t>2594 AC Den Haag</w:t>
          </w:r>
        </w:p>
        <w:p w14:paraId="22341E75" w14:textId="77777777" w:rsidR="00EF495B" w:rsidRDefault="00335B0C" w:rsidP="0098788A">
          <w:pPr>
            <w:pStyle w:val="Huisstijl-Adres"/>
          </w:pPr>
          <w:r>
            <w:rPr>
              <w:b/>
            </w:rPr>
            <w:t>Postadres</w:t>
          </w:r>
          <w:r>
            <w:rPr>
              <w:b/>
            </w:rPr>
            <w:br/>
          </w:r>
          <w:r>
            <w:t>Postbus 20401</w:t>
          </w:r>
          <w:r w:rsidRPr="005819CE">
            <w:br/>
            <w:t>2500 E</w:t>
          </w:r>
          <w:r>
            <w:t>K</w:t>
          </w:r>
          <w:r w:rsidRPr="005819CE">
            <w:t xml:space="preserve"> Den Haag</w:t>
          </w:r>
        </w:p>
        <w:p w14:paraId="44813C81" w14:textId="77777777" w:rsidR="00EF495B" w:rsidRPr="005B3814" w:rsidRDefault="00335B0C" w:rsidP="0098788A">
          <w:pPr>
            <w:pStyle w:val="Huisstijl-Adres"/>
          </w:pPr>
          <w:r>
            <w:rPr>
              <w:b/>
            </w:rPr>
            <w:t>Overheidsidentificatienr</w:t>
          </w:r>
          <w:r>
            <w:rPr>
              <w:b/>
            </w:rPr>
            <w:br/>
          </w:r>
          <w:r w:rsidRPr="005B3814">
            <w:t>00000001003214369000</w:t>
          </w:r>
        </w:p>
        <w:p w14:paraId="2CFAFE13" w14:textId="77777777" w:rsidR="00527BD4" w:rsidRPr="002365D0" w:rsidRDefault="00335B0C"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tc>
    </w:tr>
    <w:tr w:rsidR="00BF5C9C" w14:paraId="71B6DA3D" w14:textId="77777777" w:rsidTr="00A50CF6">
      <w:trPr>
        <w:trHeight w:hRule="exact" w:val="200"/>
      </w:trPr>
      <w:tc>
        <w:tcPr>
          <w:tcW w:w="2160" w:type="dxa"/>
          <w:shd w:val="clear" w:color="auto" w:fill="auto"/>
        </w:tcPr>
        <w:p w14:paraId="64A6E548" w14:textId="77777777" w:rsidR="00527BD4" w:rsidRPr="0093046B" w:rsidRDefault="00527BD4" w:rsidP="00A50CF6">
          <w:pPr>
            <w:rPr>
              <w:lang w:val="de-DE"/>
            </w:rPr>
          </w:pPr>
        </w:p>
      </w:tc>
    </w:tr>
    <w:tr w:rsidR="00BF5C9C" w14:paraId="57E48FF5" w14:textId="77777777" w:rsidTr="00A50CF6">
      <w:tc>
        <w:tcPr>
          <w:tcW w:w="2160" w:type="dxa"/>
          <w:shd w:val="clear" w:color="auto" w:fill="auto"/>
        </w:tcPr>
        <w:p w14:paraId="0EDF4342" w14:textId="77777777" w:rsidR="000C0163" w:rsidRPr="005819CE" w:rsidRDefault="00335B0C" w:rsidP="000C0163">
          <w:pPr>
            <w:pStyle w:val="Huisstijl-Kopje"/>
          </w:pPr>
          <w:r>
            <w:t>Ons kenmerk</w:t>
          </w:r>
          <w:r w:rsidRPr="005819CE">
            <w:t xml:space="preserve"> </w:t>
          </w:r>
        </w:p>
        <w:p w14:paraId="26240070" w14:textId="77777777" w:rsidR="00527BD4" w:rsidRPr="005819CE" w:rsidRDefault="00335B0C" w:rsidP="00A50CF6">
          <w:pPr>
            <w:pStyle w:val="Huisstijl-Gegeven"/>
          </w:pPr>
          <w:r>
            <w:t>DGKE-DSE</w:t>
          </w:r>
          <w:r w:rsidR="00926AE2">
            <w:t xml:space="preserve"> / </w:t>
          </w:r>
          <w:sdt>
            <w:sdtPr>
              <w:alias w:val="documentId"/>
              <w:id w:val="774674115"/>
              <w:placeholder>
                <w:docPart w:val="DefaultPlaceholder_-1854013440"/>
              </w:placeholder>
            </w:sdtPr>
            <w:sdtEndPr/>
            <w:sdtContent>
              <w:r w:rsidR="00926AE2">
                <w:fldChar w:fldCharType="begin"/>
              </w:r>
              <w:r>
                <w:instrText xml:space="preserve"> DOCPROPERTY  "documentId"  \* MERGEFORMAT </w:instrText>
              </w:r>
              <w:r w:rsidR="00926AE2">
                <w:fldChar w:fldCharType="separate"/>
              </w:r>
              <w:r w:rsidR="00926AE2">
                <w:t>22436004</w:t>
              </w:r>
              <w:r w:rsidR="00926AE2">
                <w:fldChar w:fldCharType="end"/>
              </w:r>
            </w:sdtContent>
          </w:sdt>
        </w:p>
        <w:p w14:paraId="4E318AC6" w14:textId="77777777" w:rsidR="00527BD4" w:rsidRDefault="00335B0C" w:rsidP="00A50CF6">
          <w:pPr>
            <w:pStyle w:val="Huisstijl-Kopje"/>
          </w:pPr>
          <w:r>
            <w:t>Bijlage(n)</w:t>
          </w:r>
        </w:p>
        <w:p w14:paraId="5DA5AFB6" w14:textId="77777777" w:rsidR="005A3376" w:rsidRDefault="00335B0C" w:rsidP="00A50CF6">
          <w:pPr>
            <w:pStyle w:val="Huisstijl-Kopje"/>
            <w:rPr>
              <w:b w:val="0"/>
              <w:bCs/>
            </w:rPr>
          </w:pPr>
          <w:r w:rsidRPr="00252666">
            <w:rPr>
              <w:b w:val="0"/>
              <w:bCs/>
            </w:rPr>
            <w:t>1</w:t>
          </w:r>
          <w:r>
            <w:rPr>
              <w:b w:val="0"/>
              <w:bCs/>
            </w:rPr>
            <w:t xml:space="preserve"> Motie Kröger over quickscan coöperatieve SDE++-projecten </w:t>
          </w:r>
        </w:p>
        <w:p w14:paraId="3852B488" w14:textId="77777777" w:rsidR="00527BD4" w:rsidRPr="005819CE" w:rsidRDefault="00527BD4" w:rsidP="00A50CF6">
          <w:pPr>
            <w:pStyle w:val="Huisstijl-Gegeven"/>
          </w:pPr>
        </w:p>
      </w:tc>
    </w:tr>
  </w:tbl>
  <w:p w14:paraId="76739FF0"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BF5C9C" w14:paraId="3E2AA68B" w14:textId="77777777" w:rsidTr="007610AA">
      <w:trPr>
        <w:trHeight w:val="400"/>
      </w:trPr>
      <w:tc>
        <w:tcPr>
          <w:tcW w:w="7520" w:type="dxa"/>
          <w:gridSpan w:val="2"/>
          <w:shd w:val="clear" w:color="auto" w:fill="auto"/>
        </w:tcPr>
        <w:p w14:paraId="4CCBB6A5" w14:textId="77777777" w:rsidR="00527BD4" w:rsidRPr="0093046B" w:rsidRDefault="00335B0C" w:rsidP="00A50CF6">
          <w:pPr>
            <w:pStyle w:val="Huisstijl-Retouradres"/>
            <w:rPr>
              <w:lang w:val="de-DE"/>
            </w:rPr>
          </w:pPr>
          <w:r w:rsidRPr="0093046B">
            <w:rPr>
              <w:lang w:val="de-DE"/>
            </w:rPr>
            <w:t>&gt; Retouradres Postbus 20401 2500 EK Den Haag</w:t>
          </w:r>
        </w:p>
      </w:tc>
    </w:tr>
    <w:tr w:rsidR="00BF5C9C" w14:paraId="1990BF4F" w14:textId="77777777" w:rsidTr="007610AA">
      <w:tc>
        <w:tcPr>
          <w:tcW w:w="7520" w:type="dxa"/>
          <w:gridSpan w:val="2"/>
          <w:shd w:val="clear" w:color="auto" w:fill="auto"/>
        </w:tcPr>
        <w:p w14:paraId="0543EABB" w14:textId="77777777" w:rsidR="00527BD4" w:rsidRPr="0093046B" w:rsidRDefault="00527BD4" w:rsidP="00A50CF6">
          <w:pPr>
            <w:pStyle w:val="Huisstijl-Rubricering"/>
            <w:rPr>
              <w:lang w:val="de-DE"/>
            </w:rPr>
          </w:pPr>
        </w:p>
      </w:tc>
    </w:tr>
    <w:tr w:rsidR="00BF5C9C" w14:paraId="111E286D" w14:textId="77777777" w:rsidTr="007610AA">
      <w:trPr>
        <w:trHeight w:hRule="exact" w:val="2440"/>
      </w:trPr>
      <w:tc>
        <w:tcPr>
          <w:tcW w:w="7520" w:type="dxa"/>
          <w:gridSpan w:val="2"/>
          <w:shd w:val="clear" w:color="auto" w:fill="auto"/>
        </w:tcPr>
        <w:p w14:paraId="6107F617" w14:textId="77777777" w:rsidR="00242219" w:rsidRDefault="00335B0C" w:rsidP="00242219">
          <w:pPr>
            <w:pStyle w:val="Huisstijl-NAW"/>
          </w:pPr>
          <w:r w:rsidRPr="00242219">
            <w:t xml:space="preserve">De Voorzitter van de Tweede Kamer </w:t>
          </w:r>
        </w:p>
        <w:p w14:paraId="0978B9A2" w14:textId="77777777" w:rsidR="00242219" w:rsidRDefault="00335B0C" w:rsidP="00242219">
          <w:pPr>
            <w:pStyle w:val="Huisstijl-NAW"/>
          </w:pPr>
          <w:r>
            <w:t>de</w:t>
          </w:r>
          <w:r w:rsidRPr="00242219">
            <w:t xml:space="preserve">r Staten-Generaal </w:t>
          </w:r>
        </w:p>
        <w:p w14:paraId="77763731" w14:textId="77777777" w:rsidR="00242219" w:rsidRDefault="00335B0C" w:rsidP="00242219">
          <w:pPr>
            <w:pStyle w:val="Huisstijl-NAW"/>
          </w:pPr>
          <w:r w:rsidRPr="00242219">
            <w:t xml:space="preserve">Prinses Irenestraat 6 </w:t>
          </w:r>
        </w:p>
        <w:p w14:paraId="0D304D9D" w14:textId="77777777" w:rsidR="00243642" w:rsidRDefault="00335B0C" w:rsidP="00242219">
          <w:pPr>
            <w:pStyle w:val="Huisstijl-NAW"/>
          </w:pPr>
          <w:r w:rsidRPr="00242219">
            <w:t>2595 BD</w:t>
          </w:r>
          <w:r w:rsidR="002365D0">
            <w:t xml:space="preserve"> </w:t>
          </w:r>
          <w:r w:rsidRPr="00242219">
            <w:t xml:space="preserve"> DEN HAAG</w:t>
          </w:r>
        </w:p>
      </w:tc>
    </w:tr>
    <w:tr w:rsidR="00BF5C9C" w14:paraId="4F9A7DE9" w14:textId="77777777" w:rsidTr="007610AA">
      <w:trPr>
        <w:trHeight w:hRule="exact" w:val="400"/>
      </w:trPr>
      <w:tc>
        <w:tcPr>
          <w:tcW w:w="7520" w:type="dxa"/>
          <w:gridSpan w:val="2"/>
          <w:shd w:val="clear" w:color="auto" w:fill="auto"/>
        </w:tcPr>
        <w:p w14:paraId="4D018D67"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BF5C9C" w14:paraId="4F112B34" w14:textId="77777777" w:rsidTr="007610AA">
      <w:trPr>
        <w:trHeight w:val="240"/>
      </w:trPr>
      <w:tc>
        <w:tcPr>
          <w:tcW w:w="900" w:type="dxa"/>
          <w:shd w:val="clear" w:color="auto" w:fill="auto"/>
        </w:tcPr>
        <w:p w14:paraId="74DD3725" w14:textId="77777777" w:rsidR="00527BD4" w:rsidRPr="007709EF" w:rsidRDefault="00335B0C" w:rsidP="00A50CF6">
          <w:pPr>
            <w:rPr>
              <w:szCs w:val="18"/>
            </w:rPr>
          </w:pPr>
          <w:r>
            <w:rPr>
              <w:szCs w:val="18"/>
            </w:rPr>
            <w:t>Datum</w:t>
          </w:r>
        </w:p>
      </w:tc>
      <w:tc>
        <w:tcPr>
          <w:tcW w:w="6620" w:type="dxa"/>
          <w:shd w:val="clear" w:color="auto" w:fill="auto"/>
        </w:tcPr>
        <w:p w14:paraId="65998F09" w14:textId="77777777" w:rsidR="00527BD4" w:rsidRPr="007709EF" w:rsidRDefault="00335B0C" w:rsidP="00A50CF6">
          <w:r>
            <w:t>21 november 2022</w:t>
          </w:r>
        </w:p>
      </w:tc>
    </w:tr>
    <w:tr w:rsidR="00BF5C9C" w14:paraId="60A227EF" w14:textId="77777777" w:rsidTr="007610AA">
      <w:trPr>
        <w:trHeight w:val="240"/>
      </w:trPr>
      <w:tc>
        <w:tcPr>
          <w:tcW w:w="900" w:type="dxa"/>
          <w:shd w:val="clear" w:color="auto" w:fill="auto"/>
        </w:tcPr>
        <w:p w14:paraId="60B3490C" w14:textId="77777777" w:rsidR="00527BD4" w:rsidRPr="007709EF" w:rsidRDefault="00335B0C" w:rsidP="00A50CF6">
          <w:pPr>
            <w:rPr>
              <w:szCs w:val="18"/>
            </w:rPr>
          </w:pPr>
          <w:r>
            <w:rPr>
              <w:szCs w:val="18"/>
            </w:rPr>
            <w:t>Betreft</w:t>
          </w:r>
        </w:p>
      </w:tc>
      <w:tc>
        <w:tcPr>
          <w:tcW w:w="6620" w:type="dxa"/>
          <w:shd w:val="clear" w:color="auto" w:fill="auto"/>
        </w:tcPr>
        <w:p w14:paraId="5906456C" w14:textId="77777777" w:rsidR="00527BD4" w:rsidRPr="007709EF" w:rsidRDefault="00335B0C" w:rsidP="00A50CF6">
          <w:r>
            <w:t xml:space="preserve">Subsidieregeling </w:t>
          </w:r>
          <w:r w:rsidR="000075DD">
            <w:t>c</w:t>
          </w:r>
          <w:r>
            <w:t xml:space="preserve">oöperatieve </w:t>
          </w:r>
          <w:r w:rsidR="000075DD">
            <w:t>e</w:t>
          </w:r>
          <w:r>
            <w:t>nergieopwekking 2023</w:t>
          </w:r>
        </w:p>
      </w:tc>
    </w:tr>
  </w:tbl>
  <w:p w14:paraId="47E2E4A6"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04D6BFDC">
      <w:start w:val="1"/>
      <w:numFmt w:val="bullet"/>
      <w:pStyle w:val="Lijstopsomteken"/>
      <w:lvlText w:val="•"/>
      <w:lvlJc w:val="left"/>
      <w:pPr>
        <w:tabs>
          <w:tab w:val="num" w:pos="227"/>
        </w:tabs>
        <w:ind w:left="227" w:hanging="227"/>
      </w:pPr>
      <w:rPr>
        <w:rFonts w:ascii="Verdana" w:hAnsi="Verdana" w:hint="default"/>
        <w:sz w:val="18"/>
        <w:szCs w:val="18"/>
      </w:rPr>
    </w:lvl>
    <w:lvl w:ilvl="1" w:tplc="11625120" w:tentative="1">
      <w:start w:val="1"/>
      <w:numFmt w:val="bullet"/>
      <w:lvlText w:val="o"/>
      <w:lvlJc w:val="left"/>
      <w:pPr>
        <w:tabs>
          <w:tab w:val="num" w:pos="1440"/>
        </w:tabs>
        <w:ind w:left="1440" w:hanging="360"/>
      </w:pPr>
      <w:rPr>
        <w:rFonts w:ascii="Courier New" w:hAnsi="Courier New" w:cs="Courier New" w:hint="default"/>
      </w:rPr>
    </w:lvl>
    <w:lvl w:ilvl="2" w:tplc="C0D68958" w:tentative="1">
      <w:start w:val="1"/>
      <w:numFmt w:val="bullet"/>
      <w:lvlText w:val=""/>
      <w:lvlJc w:val="left"/>
      <w:pPr>
        <w:tabs>
          <w:tab w:val="num" w:pos="2160"/>
        </w:tabs>
        <w:ind w:left="2160" w:hanging="360"/>
      </w:pPr>
      <w:rPr>
        <w:rFonts w:ascii="Wingdings" w:hAnsi="Wingdings" w:hint="default"/>
      </w:rPr>
    </w:lvl>
    <w:lvl w:ilvl="3" w:tplc="8A1CC3EC" w:tentative="1">
      <w:start w:val="1"/>
      <w:numFmt w:val="bullet"/>
      <w:lvlText w:val=""/>
      <w:lvlJc w:val="left"/>
      <w:pPr>
        <w:tabs>
          <w:tab w:val="num" w:pos="2880"/>
        </w:tabs>
        <w:ind w:left="2880" w:hanging="360"/>
      </w:pPr>
      <w:rPr>
        <w:rFonts w:ascii="Symbol" w:hAnsi="Symbol" w:hint="default"/>
      </w:rPr>
    </w:lvl>
    <w:lvl w:ilvl="4" w:tplc="BDEA299C" w:tentative="1">
      <w:start w:val="1"/>
      <w:numFmt w:val="bullet"/>
      <w:lvlText w:val="o"/>
      <w:lvlJc w:val="left"/>
      <w:pPr>
        <w:tabs>
          <w:tab w:val="num" w:pos="3600"/>
        </w:tabs>
        <w:ind w:left="3600" w:hanging="360"/>
      </w:pPr>
      <w:rPr>
        <w:rFonts w:ascii="Courier New" w:hAnsi="Courier New" w:cs="Courier New" w:hint="default"/>
      </w:rPr>
    </w:lvl>
    <w:lvl w:ilvl="5" w:tplc="957A18F2" w:tentative="1">
      <w:start w:val="1"/>
      <w:numFmt w:val="bullet"/>
      <w:lvlText w:val=""/>
      <w:lvlJc w:val="left"/>
      <w:pPr>
        <w:tabs>
          <w:tab w:val="num" w:pos="4320"/>
        </w:tabs>
        <w:ind w:left="4320" w:hanging="360"/>
      </w:pPr>
      <w:rPr>
        <w:rFonts w:ascii="Wingdings" w:hAnsi="Wingdings" w:hint="default"/>
      </w:rPr>
    </w:lvl>
    <w:lvl w:ilvl="6" w:tplc="4D3681B4" w:tentative="1">
      <w:start w:val="1"/>
      <w:numFmt w:val="bullet"/>
      <w:lvlText w:val=""/>
      <w:lvlJc w:val="left"/>
      <w:pPr>
        <w:tabs>
          <w:tab w:val="num" w:pos="5040"/>
        </w:tabs>
        <w:ind w:left="5040" w:hanging="360"/>
      </w:pPr>
      <w:rPr>
        <w:rFonts w:ascii="Symbol" w:hAnsi="Symbol" w:hint="default"/>
      </w:rPr>
    </w:lvl>
    <w:lvl w:ilvl="7" w:tplc="4D6825C4" w:tentative="1">
      <w:start w:val="1"/>
      <w:numFmt w:val="bullet"/>
      <w:lvlText w:val="o"/>
      <w:lvlJc w:val="left"/>
      <w:pPr>
        <w:tabs>
          <w:tab w:val="num" w:pos="5760"/>
        </w:tabs>
        <w:ind w:left="5760" w:hanging="360"/>
      </w:pPr>
      <w:rPr>
        <w:rFonts w:ascii="Courier New" w:hAnsi="Courier New" w:cs="Courier New" w:hint="default"/>
      </w:rPr>
    </w:lvl>
    <w:lvl w:ilvl="8" w:tplc="3746DA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7BA4D3DA">
      <w:start w:val="1"/>
      <w:numFmt w:val="bullet"/>
      <w:pStyle w:val="Lijstopsomteken2"/>
      <w:lvlText w:val="–"/>
      <w:lvlJc w:val="left"/>
      <w:pPr>
        <w:tabs>
          <w:tab w:val="num" w:pos="227"/>
        </w:tabs>
        <w:ind w:left="227" w:firstLine="0"/>
      </w:pPr>
      <w:rPr>
        <w:rFonts w:ascii="Verdana" w:hAnsi="Verdana" w:hint="default"/>
      </w:rPr>
    </w:lvl>
    <w:lvl w:ilvl="1" w:tplc="02783858" w:tentative="1">
      <w:start w:val="1"/>
      <w:numFmt w:val="bullet"/>
      <w:lvlText w:val="o"/>
      <w:lvlJc w:val="left"/>
      <w:pPr>
        <w:tabs>
          <w:tab w:val="num" w:pos="1440"/>
        </w:tabs>
        <w:ind w:left="1440" w:hanging="360"/>
      </w:pPr>
      <w:rPr>
        <w:rFonts w:ascii="Courier New" w:hAnsi="Courier New" w:cs="Courier New" w:hint="default"/>
      </w:rPr>
    </w:lvl>
    <w:lvl w:ilvl="2" w:tplc="03065F22" w:tentative="1">
      <w:start w:val="1"/>
      <w:numFmt w:val="bullet"/>
      <w:lvlText w:val=""/>
      <w:lvlJc w:val="left"/>
      <w:pPr>
        <w:tabs>
          <w:tab w:val="num" w:pos="2160"/>
        </w:tabs>
        <w:ind w:left="2160" w:hanging="360"/>
      </w:pPr>
      <w:rPr>
        <w:rFonts w:ascii="Wingdings" w:hAnsi="Wingdings" w:hint="default"/>
      </w:rPr>
    </w:lvl>
    <w:lvl w:ilvl="3" w:tplc="1764A788" w:tentative="1">
      <w:start w:val="1"/>
      <w:numFmt w:val="bullet"/>
      <w:lvlText w:val=""/>
      <w:lvlJc w:val="left"/>
      <w:pPr>
        <w:tabs>
          <w:tab w:val="num" w:pos="2880"/>
        </w:tabs>
        <w:ind w:left="2880" w:hanging="360"/>
      </w:pPr>
      <w:rPr>
        <w:rFonts w:ascii="Symbol" w:hAnsi="Symbol" w:hint="default"/>
      </w:rPr>
    </w:lvl>
    <w:lvl w:ilvl="4" w:tplc="C0EEF472" w:tentative="1">
      <w:start w:val="1"/>
      <w:numFmt w:val="bullet"/>
      <w:lvlText w:val="o"/>
      <w:lvlJc w:val="left"/>
      <w:pPr>
        <w:tabs>
          <w:tab w:val="num" w:pos="3600"/>
        </w:tabs>
        <w:ind w:left="3600" w:hanging="360"/>
      </w:pPr>
      <w:rPr>
        <w:rFonts w:ascii="Courier New" w:hAnsi="Courier New" w:cs="Courier New" w:hint="default"/>
      </w:rPr>
    </w:lvl>
    <w:lvl w:ilvl="5" w:tplc="6F98B77E" w:tentative="1">
      <w:start w:val="1"/>
      <w:numFmt w:val="bullet"/>
      <w:lvlText w:val=""/>
      <w:lvlJc w:val="left"/>
      <w:pPr>
        <w:tabs>
          <w:tab w:val="num" w:pos="4320"/>
        </w:tabs>
        <w:ind w:left="4320" w:hanging="360"/>
      </w:pPr>
      <w:rPr>
        <w:rFonts w:ascii="Wingdings" w:hAnsi="Wingdings" w:hint="default"/>
      </w:rPr>
    </w:lvl>
    <w:lvl w:ilvl="6" w:tplc="E556BE76" w:tentative="1">
      <w:start w:val="1"/>
      <w:numFmt w:val="bullet"/>
      <w:lvlText w:val=""/>
      <w:lvlJc w:val="left"/>
      <w:pPr>
        <w:tabs>
          <w:tab w:val="num" w:pos="5040"/>
        </w:tabs>
        <w:ind w:left="5040" w:hanging="360"/>
      </w:pPr>
      <w:rPr>
        <w:rFonts w:ascii="Symbol" w:hAnsi="Symbol" w:hint="default"/>
      </w:rPr>
    </w:lvl>
    <w:lvl w:ilvl="7" w:tplc="37504EF2" w:tentative="1">
      <w:start w:val="1"/>
      <w:numFmt w:val="bullet"/>
      <w:lvlText w:val="o"/>
      <w:lvlJc w:val="left"/>
      <w:pPr>
        <w:tabs>
          <w:tab w:val="num" w:pos="5760"/>
        </w:tabs>
        <w:ind w:left="5760" w:hanging="360"/>
      </w:pPr>
      <w:rPr>
        <w:rFonts w:ascii="Courier New" w:hAnsi="Courier New" w:cs="Courier New" w:hint="default"/>
      </w:rPr>
    </w:lvl>
    <w:lvl w:ilvl="8" w:tplc="18D4F24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247D7"/>
    <w:multiLevelType w:val="hybridMultilevel"/>
    <w:tmpl w:val="DCE829F4"/>
    <w:lvl w:ilvl="0" w:tplc="996AFE2E">
      <w:numFmt w:val="bullet"/>
      <w:lvlText w:val="-"/>
      <w:lvlJc w:val="left"/>
      <w:pPr>
        <w:ind w:left="720" w:hanging="360"/>
      </w:pPr>
      <w:rPr>
        <w:rFonts w:ascii="Calibri" w:eastAsia="Calibri" w:hAnsi="Calibri" w:cs="Calibri" w:hint="default"/>
      </w:rPr>
    </w:lvl>
    <w:lvl w:ilvl="1" w:tplc="E856CAC8">
      <w:start w:val="1"/>
      <w:numFmt w:val="bullet"/>
      <w:lvlText w:val="o"/>
      <w:lvlJc w:val="left"/>
      <w:pPr>
        <w:ind w:left="1440" w:hanging="360"/>
      </w:pPr>
      <w:rPr>
        <w:rFonts w:ascii="Courier New" w:hAnsi="Courier New" w:cs="Courier New" w:hint="default"/>
      </w:rPr>
    </w:lvl>
    <w:lvl w:ilvl="2" w:tplc="DF72B306">
      <w:start w:val="1"/>
      <w:numFmt w:val="bullet"/>
      <w:lvlText w:val=""/>
      <w:lvlJc w:val="left"/>
      <w:pPr>
        <w:ind w:left="2160" w:hanging="360"/>
      </w:pPr>
      <w:rPr>
        <w:rFonts w:ascii="Wingdings" w:hAnsi="Wingdings" w:hint="default"/>
      </w:rPr>
    </w:lvl>
    <w:lvl w:ilvl="3" w:tplc="79BCC006">
      <w:start w:val="1"/>
      <w:numFmt w:val="bullet"/>
      <w:lvlText w:val=""/>
      <w:lvlJc w:val="left"/>
      <w:pPr>
        <w:ind w:left="2880" w:hanging="360"/>
      </w:pPr>
      <w:rPr>
        <w:rFonts w:ascii="Symbol" w:hAnsi="Symbol" w:hint="default"/>
      </w:rPr>
    </w:lvl>
    <w:lvl w:ilvl="4" w:tplc="20F24CF2">
      <w:start w:val="1"/>
      <w:numFmt w:val="bullet"/>
      <w:lvlText w:val="o"/>
      <w:lvlJc w:val="left"/>
      <w:pPr>
        <w:ind w:left="3600" w:hanging="360"/>
      </w:pPr>
      <w:rPr>
        <w:rFonts w:ascii="Courier New" w:hAnsi="Courier New" w:cs="Courier New" w:hint="default"/>
      </w:rPr>
    </w:lvl>
    <w:lvl w:ilvl="5" w:tplc="5E74123C">
      <w:start w:val="1"/>
      <w:numFmt w:val="bullet"/>
      <w:lvlText w:val=""/>
      <w:lvlJc w:val="left"/>
      <w:pPr>
        <w:ind w:left="4320" w:hanging="360"/>
      </w:pPr>
      <w:rPr>
        <w:rFonts w:ascii="Wingdings" w:hAnsi="Wingdings" w:hint="default"/>
      </w:rPr>
    </w:lvl>
    <w:lvl w:ilvl="6" w:tplc="D4822C82">
      <w:start w:val="1"/>
      <w:numFmt w:val="bullet"/>
      <w:lvlText w:val=""/>
      <w:lvlJc w:val="left"/>
      <w:pPr>
        <w:ind w:left="5040" w:hanging="360"/>
      </w:pPr>
      <w:rPr>
        <w:rFonts w:ascii="Symbol" w:hAnsi="Symbol" w:hint="default"/>
      </w:rPr>
    </w:lvl>
    <w:lvl w:ilvl="7" w:tplc="DF4ADA7A">
      <w:start w:val="1"/>
      <w:numFmt w:val="bullet"/>
      <w:lvlText w:val="o"/>
      <w:lvlJc w:val="left"/>
      <w:pPr>
        <w:ind w:left="5760" w:hanging="360"/>
      </w:pPr>
      <w:rPr>
        <w:rFonts w:ascii="Courier New" w:hAnsi="Courier New" w:cs="Courier New" w:hint="default"/>
      </w:rPr>
    </w:lvl>
    <w:lvl w:ilvl="8" w:tplc="10E0D8A8">
      <w:start w:val="1"/>
      <w:numFmt w:val="bullet"/>
      <w:lvlText w:val=""/>
      <w:lvlJc w:val="left"/>
      <w:pPr>
        <w:ind w:left="6480" w:hanging="360"/>
      </w:pPr>
      <w:rPr>
        <w:rFonts w:ascii="Wingdings" w:hAnsi="Wingdings" w:hint="default"/>
      </w:rPr>
    </w:lvl>
  </w:abstractNum>
  <w:abstractNum w:abstractNumId="14" w15:restartNumberingAfterBreak="0">
    <w:nsid w:val="42E74F20"/>
    <w:multiLevelType w:val="multilevel"/>
    <w:tmpl w:val="7418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D863FD"/>
    <w:multiLevelType w:val="hybridMultilevel"/>
    <w:tmpl w:val="2CE845EC"/>
    <w:lvl w:ilvl="0" w:tplc="B504FB36">
      <w:numFmt w:val="bullet"/>
      <w:lvlText w:val="-"/>
      <w:lvlJc w:val="left"/>
      <w:pPr>
        <w:ind w:left="720" w:hanging="360"/>
      </w:pPr>
      <w:rPr>
        <w:rFonts w:ascii="Verdana" w:eastAsia="Calibri" w:hAnsi="Verdana" w:cs="Times New Roman" w:hint="default"/>
      </w:rPr>
    </w:lvl>
    <w:lvl w:ilvl="1" w:tplc="F0BC15F6">
      <w:start w:val="1"/>
      <w:numFmt w:val="bullet"/>
      <w:lvlText w:val="o"/>
      <w:lvlJc w:val="left"/>
      <w:pPr>
        <w:ind w:left="1440" w:hanging="360"/>
      </w:pPr>
      <w:rPr>
        <w:rFonts w:ascii="Courier New" w:hAnsi="Courier New" w:cs="Courier New" w:hint="default"/>
      </w:rPr>
    </w:lvl>
    <w:lvl w:ilvl="2" w:tplc="C786DC9C">
      <w:start w:val="1"/>
      <w:numFmt w:val="bullet"/>
      <w:lvlText w:val=""/>
      <w:lvlJc w:val="left"/>
      <w:pPr>
        <w:ind w:left="2160" w:hanging="360"/>
      </w:pPr>
      <w:rPr>
        <w:rFonts w:ascii="Wingdings" w:hAnsi="Wingdings" w:hint="default"/>
      </w:rPr>
    </w:lvl>
    <w:lvl w:ilvl="3" w:tplc="E7CC06F6">
      <w:start w:val="1"/>
      <w:numFmt w:val="bullet"/>
      <w:lvlText w:val=""/>
      <w:lvlJc w:val="left"/>
      <w:pPr>
        <w:ind w:left="2880" w:hanging="360"/>
      </w:pPr>
      <w:rPr>
        <w:rFonts w:ascii="Symbol" w:hAnsi="Symbol" w:hint="default"/>
      </w:rPr>
    </w:lvl>
    <w:lvl w:ilvl="4" w:tplc="7214F3BC">
      <w:start w:val="1"/>
      <w:numFmt w:val="bullet"/>
      <w:lvlText w:val="o"/>
      <w:lvlJc w:val="left"/>
      <w:pPr>
        <w:ind w:left="3600" w:hanging="360"/>
      </w:pPr>
      <w:rPr>
        <w:rFonts w:ascii="Courier New" w:hAnsi="Courier New" w:cs="Courier New" w:hint="default"/>
      </w:rPr>
    </w:lvl>
    <w:lvl w:ilvl="5" w:tplc="0ED2F8C6">
      <w:start w:val="1"/>
      <w:numFmt w:val="bullet"/>
      <w:lvlText w:val=""/>
      <w:lvlJc w:val="left"/>
      <w:pPr>
        <w:ind w:left="4320" w:hanging="360"/>
      </w:pPr>
      <w:rPr>
        <w:rFonts w:ascii="Wingdings" w:hAnsi="Wingdings" w:hint="default"/>
      </w:rPr>
    </w:lvl>
    <w:lvl w:ilvl="6" w:tplc="4B9E6D98">
      <w:start w:val="1"/>
      <w:numFmt w:val="bullet"/>
      <w:lvlText w:val=""/>
      <w:lvlJc w:val="left"/>
      <w:pPr>
        <w:ind w:left="5040" w:hanging="360"/>
      </w:pPr>
      <w:rPr>
        <w:rFonts w:ascii="Symbol" w:hAnsi="Symbol" w:hint="default"/>
      </w:rPr>
    </w:lvl>
    <w:lvl w:ilvl="7" w:tplc="E1807A2E">
      <w:start w:val="1"/>
      <w:numFmt w:val="bullet"/>
      <w:lvlText w:val="o"/>
      <w:lvlJc w:val="left"/>
      <w:pPr>
        <w:ind w:left="5760" w:hanging="360"/>
      </w:pPr>
      <w:rPr>
        <w:rFonts w:ascii="Courier New" w:hAnsi="Courier New" w:cs="Courier New" w:hint="default"/>
      </w:rPr>
    </w:lvl>
    <w:lvl w:ilvl="8" w:tplc="9294A1EE">
      <w:start w:val="1"/>
      <w:numFmt w:val="bullet"/>
      <w:lvlText w:val=""/>
      <w:lvlJc w:val="left"/>
      <w:pPr>
        <w:ind w:left="6480" w:hanging="360"/>
      </w:pPr>
      <w:rPr>
        <w:rFonts w:ascii="Wingdings" w:hAnsi="Wingdings" w:hint="default"/>
      </w:rPr>
    </w:lvl>
  </w:abstractNum>
  <w:abstractNum w:abstractNumId="1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E13775"/>
    <w:multiLevelType w:val="hybridMultilevel"/>
    <w:tmpl w:val="B4BC236A"/>
    <w:lvl w:ilvl="0" w:tplc="EF60CE04">
      <w:start w:val="9"/>
      <w:numFmt w:val="bullet"/>
      <w:lvlText w:val=""/>
      <w:lvlJc w:val="left"/>
      <w:pPr>
        <w:ind w:left="720" w:hanging="360"/>
      </w:pPr>
      <w:rPr>
        <w:rFonts w:ascii="Symbol" w:eastAsia="Times New Roman" w:hAnsi="Symbol" w:cs="Times New Roman" w:hint="default"/>
        <w:sz w:val="16"/>
      </w:rPr>
    </w:lvl>
    <w:lvl w:ilvl="1" w:tplc="FA6EE8DA" w:tentative="1">
      <w:start w:val="1"/>
      <w:numFmt w:val="bullet"/>
      <w:lvlText w:val="o"/>
      <w:lvlJc w:val="left"/>
      <w:pPr>
        <w:ind w:left="1440" w:hanging="360"/>
      </w:pPr>
      <w:rPr>
        <w:rFonts w:ascii="Courier New" w:hAnsi="Courier New" w:cs="Courier New" w:hint="default"/>
      </w:rPr>
    </w:lvl>
    <w:lvl w:ilvl="2" w:tplc="802A5EDA" w:tentative="1">
      <w:start w:val="1"/>
      <w:numFmt w:val="bullet"/>
      <w:lvlText w:val=""/>
      <w:lvlJc w:val="left"/>
      <w:pPr>
        <w:ind w:left="2160" w:hanging="360"/>
      </w:pPr>
      <w:rPr>
        <w:rFonts w:ascii="Wingdings" w:hAnsi="Wingdings" w:hint="default"/>
      </w:rPr>
    </w:lvl>
    <w:lvl w:ilvl="3" w:tplc="3A8C6752" w:tentative="1">
      <w:start w:val="1"/>
      <w:numFmt w:val="bullet"/>
      <w:lvlText w:val=""/>
      <w:lvlJc w:val="left"/>
      <w:pPr>
        <w:ind w:left="2880" w:hanging="360"/>
      </w:pPr>
      <w:rPr>
        <w:rFonts w:ascii="Symbol" w:hAnsi="Symbol" w:hint="default"/>
      </w:rPr>
    </w:lvl>
    <w:lvl w:ilvl="4" w:tplc="2F36B0C8" w:tentative="1">
      <w:start w:val="1"/>
      <w:numFmt w:val="bullet"/>
      <w:lvlText w:val="o"/>
      <w:lvlJc w:val="left"/>
      <w:pPr>
        <w:ind w:left="3600" w:hanging="360"/>
      </w:pPr>
      <w:rPr>
        <w:rFonts w:ascii="Courier New" w:hAnsi="Courier New" w:cs="Courier New" w:hint="default"/>
      </w:rPr>
    </w:lvl>
    <w:lvl w:ilvl="5" w:tplc="86EA302A" w:tentative="1">
      <w:start w:val="1"/>
      <w:numFmt w:val="bullet"/>
      <w:lvlText w:val=""/>
      <w:lvlJc w:val="left"/>
      <w:pPr>
        <w:ind w:left="4320" w:hanging="360"/>
      </w:pPr>
      <w:rPr>
        <w:rFonts w:ascii="Wingdings" w:hAnsi="Wingdings" w:hint="default"/>
      </w:rPr>
    </w:lvl>
    <w:lvl w:ilvl="6" w:tplc="131A19F6" w:tentative="1">
      <w:start w:val="1"/>
      <w:numFmt w:val="bullet"/>
      <w:lvlText w:val=""/>
      <w:lvlJc w:val="left"/>
      <w:pPr>
        <w:ind w:left="5040" w:hanging="360"/>
      </w:pPr>
      <w:rPr>
        <w:rFonts w:ascii="Symbol" w:hAnsi="Symbol" w:hint="default"/>
      </w:rPr>
    </w:lvl>
    <w:lvl w:ilvl="7" w:tplc="462EDFFE" w:tentative="1">
      <w:start w:val="1"/>
      <w:numFmt w:val="bullet"/>
      <w:lvlText w:val="o"/>
      <w:lvlJc w:val="left"/>
      <w:pPr>
        <w:ind w:left="5760" w:hanging="360"/>
      </w:pPr>
      <w:rPr>
        <w:rFonts w:ascii="Courier New" w:hAnsi="Courier New" w:cs="Courier New" w:hint="default"/>
      </w:rPr>
    </w:lvl>
    <w:lvl w:ilvl="8" w:tplc="AE5EB8A8" w:tentative="1">
      <w:start w:val="1"/>
      <w:numFmt w:val="bullet"/>
      <w:lvlText w:val=""/>
      <w:lvlJc w:val="left"/>
      <w:pPr>
        <w:ind w:left="6480" w:hanging="360"/>
      </w:pPr>
      <w:rPr>
        <w:rFonts w:ascii="Wingdings" w:hAnsi="Wingdings" w:hint="default"/>
      </w:rPr>
    </w:lvl>
  </w:abstractNum>
  <w:num w:numId="1" w16cid:durableId="1969121191">
    <w:abstractNumId w:val="10"/>
  </w:num>
  <w:num w:numId="2" w16cid:durableId="261185467">
    <w:abstractNumId w:val="7"/>
  </w:num>
  <w:num w:numId="3" w16cid:durableId="1204293173">
    <w:abstractNumId w:val="6"/>
  </w:num>
  <w:num w:numId="4" w16cid:durableId="478420965">
    <w:abstractNumId w:val="5"/>
  </w:num>
  <w:num w:numId="5" w16cid:durableId="461732758">
    <w:abstractNumId w:val="4"/>
  </w:num>
  <w:num w:numId="6" w16cid:durableId="528565642">
    <w:abstractNumId w:val="8"/>
  </w:num>
  <w:num w:numId="7" w16cid:durableId="766079873">
    <w:abstractNumId w:val="3"/>
  </w:num>
  <w:num w:numId="8" w16cid:durableId="356084224">
    <w:abstractNumId w:val="2"/>
  </w:num>
  <w:num w:numId="9" w16cid:durableId="693848631">
    <w:abstractNumId w:val="1"/>
  </w:num>
  <w:num w:numId="10" w16cid:durableId="36709437">
    <w:abstractNumId w:val="0"/>
  </w:num>
  <w:num w:numId="11" w16cid:durableId="363603528">
    <w:abstractNumId w:val="9"/>
  </w:num>
  <w:num w:numId="12" w16cid:durableId="1592738991">
    <w:abstractNumId w:val="11"/>
  </w:num>
  <w:num w:numId="13" w16cid:durableId="71201755">
    <w:abstractNumId w:val="16"/>
  </w:num>
  <w:num w:numId="14" w16cid:durableId="486440378">
    <w:abstractNumId w:val="12"/>
  </w:num>
  <w:num w:numId="15" w16cid:durableId="742946980">
    <w:abstractNumId w:val="15"/>
  </w:num>
  <w:num w:numId="16" w16cid:durableId="1071736851">
    <w:abstractNumId w:val="14"/>
  </w:num>
  <w:num w:numId="17" w16cid:durableId="1470780824">
    <w:abstractNumId w:val="17"/>
  </w:num>
  <w:num w:numId="18" w16cid:durableId="176190189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27B0"/>
    <w:rsid w:val="000049FB"/>
    <w:rsid w:val="000075DD"/>
    <w:rsid w:val="00013862"/>
    <w:rsid w:val="00016012"/>
    <w:rsid w:val="00020189"/>
    <w:rsid w:val="00020EE4"/>
    <w:rsid w:val="00023E9A"/>
    <w:rsid w:val="00033CDD"/>
    <w:rsid w:val="00034A84"/>
    <w:rsid w:val="00035E67"/>
    <w:rsid w:val="000366F3"/>
    <w:rsid w:val="00042A5B"/>
    <w:rsid w:val="0006024D"/>
    <w:rsid w:val="00071F28"/>
    <w:rsid w:val="00074079"/>
    <w:rsid w:val="0007730A"/>
    <w:rsid w:val="00092799"/>
    <w:rsid w:val="00092C5F"/>
    <w:rsid w:val="00096680"/>
    <w:rsid w:val="000A0F36"/>
    <w:rsid w:val="000A174A"/>
    <w:rsid w:val="000A3E0A"/>
    <w:rsid w:val="000A5699"/>
    <w:rsid w:val="000A65AC"/>
    <w:rsid w:val="000A7159"/>
    <w:rsid w:val="000B50D3"/>
    <w:rsid w:val="000B7281"/>
    <w:rsid w:val="000B7FAB"/>
    <w:rsid w:val="000C0163"/>
    <w:rsid w:val="000C1BA1"/>
    <w:rsid w:val="000C3EA9"/>
    <w:rsid w:val="000D0225"/>
    <w:rsid w:val="000D6D2B"/>
    <w:rsid w:val="000E7895"/>
    <w:rsid w:val="000F161D"/>
    <w:rsid w:val="000F3CAA"/>
    <w:rsid w:val="00102ABB"/>
    <w:rsid w:val="00103280"/>
    <w:rsid w:val="00110B8E"/>
    <w:rsid w:val="00112774"/>
    <w:rsid w:val="00121BF0"/>
    <w:rsid w:val="00123704"/>
    <w:rsid w:val="001267EE"/>
    <w:rsid w:val="001270C7"/>
    <w:rsid w:val="00132540"/>
    <w:rsid w:val="00133F0F"/>
    <w:rsid w:val="00134382"/>
    <w:rsid w:val="00142CB0"/>
    <w:rsid w:val="00145AF8"/>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118"/>
    <w:rsid w:val="001A2BEA"/>
    <w:rsid w:val="001A6D93"/>
    <w:rsid w:val="001B19A8"/>
    <w:rsid w:val="001C32EC"/>
    <w:rsid w:val="001C38BD"/>
    <w:rsid w:val="001C4D5A"/>
    <w:rsid w:val="001C5DFA"/>
    <w:rsid w:val="001E34C6"/>
    <w:rsid w:val="001E5581"/>
    <w:rsid w:val="001E79A7"/>
    <w:rsid w:val="001F2202"/>
    <w:rsid w:val="001F3C70"/>
    <w:rsid w:val="00200D88"/>
    <w:rsid w:val="00201F68"/>
    <w:rsid w:val="00212F2A"/>
    <w:rsid w:val="00214F2B"/>
    <w:rsid w:val="00217880"/>
    <w:rsid w:val="00222D66"/>
    <w:rsid w:val="00224A8A"/>
    <w:rsid w:val="002309A8"/>
    <w:rsid w:val="002365D0"/>
    <w:rsid w:val="00236CFE"/>
    <w:rsid w:val="00242219"/>
    <w:rsid w:val="002428E3"/>
    <w:rsid w:val="00243031"/>
    <w:rsid w:val="00243642"/>
    <w:rsid w:val="00252666"/>
    <w:rsid w:val="00255A81"/>
    <w:rsid w:val="00260BAF"/>
    <w:rsid w:val="002650F7"/>
    <w:rsid w:val="002678E1"/>
    <w:rsid w:val="00273F3B"/>
    <w:rsid w:val="00274DB7"/>
    <w:rsid w:val="00275984"/>
    <w:rsid w:val="00280F74"/>
    <w:rsid w:val="002822CA"/>
    <w:rsid w:val="00286998"/>
    <w:rsid w:val="00291341"/>
    <w:rsid w:val="00291AB7"/>
    <w:rsid w:val="00292EB2"/>
    <w:rsid w:val="0029422B"/>
    <w:rsid w:val="00294CC9"/>
    <w:rsid w:val="002A0938"/>
    <w:rsid w:val="002B153C"/>
    <w:rsid w:val="002B52FC"/>
    <w:rsid w:val="002C0DE6"/>
    <w:rsid w:val="002C2830"/>
    <w:rsid w:val="002C50B8"/>
    <w:rsid w:val="002D001A"/>
    <w:rsid w:val="002D28E2"/>
    <w:rsid w:val="002D317B"/>
    <w:rsid w:val="002D3587"/>
    <w:rsid w:val="002D502D"/>
    <w:rsid w:val="002E0F69"/>
    <w:rsid w:val="002E654A"/>
    <w:rsid w:val="002F5147"/>
    <w:rsid w:val="002F7ABD"/>
    <w:rsid w:val="00312597"/>
    <w:rsid w:val="00327BA5"/>
    <w:rsid w:val="0033326F"/>
    <w:rsid w:val="00334154"/>
    <w:rsid w:val="00335B0C"/>
    <w:rsid w:val="003372C4"/>
    <w:rsid w:val="00340ECA"/>
    <w:rsid w:val="00341FA0"/>
    <w:rsid w:val="00344F3D"/>
    <w:rsid w:val="00345299"/>
    <w:rsid w:val="003476A3"/>
    <w:rsid w:val="00351A8D"/>
    <w:rsid w:val="003526BB"/>
    <w:rsid w:val="00352BCF"/>
    <w:rsid w:val="00352DFB"/>
    <w:rsid w:val="00353932"/>
    <w:rsid w:val="0035464B"/>
    <w:rsid w:val="00361A56"/>
    <w:rsid w:val="0036252A"/>
    <w:rsid w:val="00364D9D"/>
    <w:rsid w:val="00367F6D"/>
    <w:rsid w:val="00371048"/>
    <w:rsid w:val="0037396C"/>
    <w:rsid w:val="0037421D"/>
    <w:rsid w:val="00376093"/>
    <w:rsid w:val="00383DA1"/>
    <w:rsid w:val="00385F30"/>
    <w:rsid w:val="00391590"/>
    <w:rsid w:val="00393696"/>
    <w:rsid w:val="00393963"/>
    <w:rsid w:val="00394730"/>
    <w:rsid w:val="0039549D"/>
    <w:rsid w:val="00395575"/>
    <w:rsid w:val="00395672"/>
    <w:rsid w:val="003A06C8"/>
    <w:rsid w:val="003A0D7C"/>
    <w:rsid w:val="003A5290"/>
    <w:rsid w:val="003B0155"/>
    <w:rsid w:val="003B7EE7"/>
    <w:rsid w:val="003C2CCB"/>
    <w:rsid w:val="003C5CFD"/>
    <w:rsid w:val="003C6CEF"/>
    <w:rsid w:val="003D04DA"/>
    <w:rsid w:val="003D39EC"/>
    <w:rsid w:val="003D5DED"/>
    <w:rsid w:val="003E1A97"/>
    <w:rsid w:val="003E3DD5"/>
    <w:rsid w:val="003E71B5"/>
    <w:rsid w:val="003F07C6"/>
    <w:rsid w:val="003F1F6B"/>
    <w:rsid w:val="003F3757"/>
    <w:rsid w:val="003F38BD"/>
    <w:rsid w:val="003F44B7"/>
    <w:rsid w:val="004008E9"/>
    <w:rsid w:val="00413628"/>
    <w:rsid w:val="00413D48"/>
    <w:rsid w:val="00441AC2"/>
    <w:rsid w:val="0044249B"/>
    <w:rsid w:val="0045023C"/>
    <w:rsid w:val="00451A5B"/>
    <w:rsid w:val="00452BCD"/>
    <w:rsid w:val="00452CEA"/>
    <w:rsid w:val="00465B52"/>
    <w:rsid w:val="0046708E"/>
    <w:rsid w:val="00472A65"/>
    <w:rsid w:val="00474463"/>
    <w:rsid w:val="00474B75"/>
    <w:rsid w:val="00474DB7"/>
    <w:rsid w:val="004776E2"/>
    <w:rsid w:val="00483F0B"/>
    <w:rsid w:val="00496319"/>
    <w:rsid w:val="00497279"/>
    <w:rsid w:val="004A163B"/>
    <w:rsid w:val="004A2FAA"/>
    <w:rsid w:val="004A670A"/>
    <w:rsid w:val="004B2B4A"/>
    <w:rsid w:val="004B5465"/>
    <w:rsid w:val="004B70F0"/>
    <w:rsid w:val="004C21A8"/>
    <w:rsid w:val="004D505E"/>
    <w:rsid w:val="004D72CA"/>
    <w:rsid w:val="004E2242"/>
    <w:rsid w:val="004E505E"/>
    <w:rsid w:val="004F42FF"/>
    <w:rsid w:val="004F44C2"/>
    <w:rsid w:val="00500157"/>
    <w:rsid w:val="00502512"/>
    <w:rsid w:val="00503FD2"/>
    <w:rsid w:val="00505262"/>
    <w:rsid w:val="00516022"/>
    <w:rsid w:val="00521CEE"/>
    <w:rsid w:val="00524FB4"/>
    <w:rsid w:val="00527BD4"/>
    <w:rsid w:val="00532BB8"/>
    <w:rsid w:val="00537095"/>
    <w:rsid w:val="005403C8"/>
    <w:rsid w:val="005429DC"/>
    <w:rsid w:val="005565F9"/>
    <w:rsid w:val="00565D2B"/>
    <w:rsid w:val="00573041"/>
    <w:rsid w:val="00575B80"/>
    <w:rsid w:val="0057620F"/>
    <w:rsid w:val="005819CE"/>
    <w:rsid w:val="0058298D"/>
    <w:rsid w:val="00584C1A"/>
    <w:rsid w:val="00593C2B"/>
    <w:rsid w:val="00595231"/>
    <w:rsid w:val="00596166"/>
    <w:rsid w:val="00597F64"/>
    <w:rsid w:val="005A207F"/>
    <w:rsid w:val="005A2F35"/>
    <w:rsid w:val="005A3376"/>
    <w:rsid w:val="005B3814"/>
    <w:rsid w:val="005B463E"/>
    <w:rsid w:val="005C34E1"/>
    <w:rsid w:val="005C3FE0"/>
    <w:rsid w:val="005C65B5"/>
    <w:rsid w:val="005C740C"/>
    <w:rsid w:val="005D625B"/>
    <w:rsid w:val="005E77AE"/>
    <w:rsid w:val="005F62D3"/>
    <w:rsid w:val="005F6D11"/>
    <w:rsid w:val="00600CF0"/>
    <w:rsid w:val="0060160F"/>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5545"/>
    <w:rsid w:val="006864B3"/>
    <w:rsid w:val="006906B8"/>
    <w:rsid w:val="00692D64"/>
    <w:rsid w:val="0069331A"/>
    <w:rsid w:val="006A10F8"/>
    <w:rsid w:val="006A2100"/>
    <w:rsid w:val="006A5C3B"/>
    <w:rsid w:val="006A72E0"/>
    <w:rsid w:val="006A7E69"/>
    <w:rsid w:val="006B0BF3"/>
    <w:rsid w:val="006B29C4"/>
    <w:rsid w:val="006B4301"/>
    <w:rsid w:val="006B775E"/>
    <w:rsid w:val="006B7BC7"/>
    <w:rsid w:val="006C2535"/>
    <w:rsid w:val="006C441E"/>
    <w:rsid w:val="006C4B90"/>
    <w:rsid w:val="006D1016"/>
    <w:rsid w:val="006D16C9"/>
    <w:rsid w:val="006D17F2"/>
    <w:rsid w:val="006E3546"/>
    <w:rsid w:val="006E3FA9"/>
    <w:rsid w:val="006E7D82"/>
    <w:rsid w:val="006F038F"/>
    <w:rsid w:val="006F0F93"/>
    <w:rsid w:val="006F31F2"/>
    <w:rsid w:val="006F7494"/>
    <w:rsid w:val="006F751F"/>
    <w:rsid w:val="00714DC5"/>
    <w:rsid w:val="00715237"/>
    <w:rsid w:val="00721AE1"/>
    <w:rsid w:val="007251FA"/>
    <w:rsid w:val="007254A5"/>
    <w:rsid w:val="00725748"/>
    <w:rsid w:val="007326CC"/>
    <w:rsid w:val="00735D88"/>
    <w:rsid w:val="0073720D"/>
    <w:rsid w:val="00737507"/>
    <w:rsid w:val="00740712"/>
    <w:rsid w:val="00742AB9"/>
    <w:rsid w:val="00751A6A"/>
    <w:rsid w:val="00754FBF"/>
    <w:rsid w:val="007610AA"/>
    <w:rsid w:val="007709EF"/>
    <w:rsid w:val="00781D7E"/>
    <w:rsid w:val="00782701"/>
    <w:rsid w:val="00783559"/>
    <w:rsid w:val="0079551B"/>
    <w:rsid w:val="00797AA5"/>
    <w:rsid w:val="00797F8C"/>
    <w:rsid w:val="007A26BD"/>
    <w:rsid w:val="007A4105"/>
    <w:rsid w:val="007B4503"/>
    <w:rsid w:val="007C406E"/>
    <w:rsid w:val="007C5183"/>
    <w:rsid w:val="007C7573"/>
    <w:rsid w:val="007D0614"/>
    <w:rsid w:val="007E1B1D"/>
    <w:rsid w:val="007E2B20"/>
    <w:rsid w:val="007E79B6"/>
    <w:rsid w:val="007F439C"/>
    <w:rsid w:val="007F510A"/>
    <w:rsid w:val="007F5331"/>
    <w:rsid w:val="00800CCA"/>
    <w:rsid w:val="00806120"/>
    <w:rsid w:val="00806F63"/>
    <w:rsid w:val="00810361"/>
    <w:rsid w:val="00810C93"/>
    <w:rsid w:val="00812028"/>
    <w:rsid w:val="00812DD8"/>
    <w:rsid w:val="00813082"/>
    <w:rsid w:val="00814D03"/>
    <w:rsid w:val="00820371"/>
    <w:rsid w:val="00821FC1"/>
    <w:rsid w:val="00823AE2"/>
    <w:rsid w:val="0082594C"/>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94A3B"/>
    <w:rsid w:val="00897653"/>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1BE9"/>
    <w:rsid w:val="0090271B"/>
    <w:rsid w:val="00910642"/>
    <w:rsid w:val="00910DDF"/>
    <w:rsid w:val="00924263"/>
    <w:rsid w:val="00926AE2"/>
    <w:rsid w:val="0093046B"/>
    <w:rsid w:val="00930B13"/>
    <w:rsid w:val="009311C8"/>
    <w:rsid w:val="00933376"/>
    <w:rsid w:val="00933A2F"/>
    <w:rsid w:val="00936502"/>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440D"/>
    <w:rsid w:val="009C7CA1"/>
    <w:rsid w:val="009D043D"/>
    <w:rsid w:val="009F3259"/>
    <w:rsid w:val="009F49F1"/>
    <w:rsid w:val="009F4DA5"/>
    <w:rsid w:val="00A037D5"/>
    <w:rsid w:val="00A056DE"/>
    <w:rsid w:val="00A128AD"/>
    <w:rsid w:val="00A13DE5"/>
    <w:rsid w:val="00A21E76"/>
    <w:rsid w:val="00A23BC8"/>
    <w:rsid w:val="00A24389"/>
    <w:rsid w:val="00A245F8"/>
    <w:rsid w:val="00A30E68"/>
    <w:rsid w:val="00A31933"/>
    <w:rsid w:val="00A329D2"/>
    <w:rsid w:val="00A34AA0"/>
    <w:rsid w:val="00A3715C"/>
    <w:rsid w:val="00A413B4"/>
    <w:rsid w:val="00A41FE2"/>
    <w:rsid w:val="00A46FEF"/>
    <w:rsid w:val="00A47948"/>
    <w:rsid w:val="00A50CF6"/>
    <w:rsid w:val="00A56946"/>
    <w:rsid w:val="00A6170E"/>
    <w:rsid w:val="00A63B8C"/>
    <w:rsid w:val="00A715F8"/>
    <w:rsid w:val="00A75F5E"/>
    <w:rsid w:val="00A77F6F"/>
    <w:rsid w:val="00A831FD"/>
    <w:rsid w:val="00A83352"/>
    <w:rsid w:val="00A8346D"/>
    <w:rsid w:val="00A850A2"/>
    <w:rsid w:val="00A852D8"/>
    <w:rsid w:val="00A91FA3"/>
    <w:rsid w:val="00A927D3"/>
    <w:rsid w:val="00AA7FC9"/>
    <w:rsid w:val="00AB237D"/>
    <w:rsid w:val="00AB31FF"/>
    <w:rsid w:val="00AB5933"/>
    <w:rsid w:val="00AE013D"/>
    <w:rsid w:val="00AE11B7"/>
    <w:rsid w:val="00AE7169"/>
    <w:rsid w:val="00AE7F68"/>
    <w:rsid w:val="00AF2321"/>
    <w:rsid w:val="00AF43CB"/>
    <w:rsid w:val="00AF52F6"/>
    <w:rsid w:val="00AF52FD"/>
    <w:rsid w:val="00AF54A8"/>
    <w:rsid w:val="00AF7237"/>
    <w:rsid w:val="00B0043A"/>
    <w:rsid w:val="00B00D75"/>
    <w:rsid w:val="00B070CB"/>
    <w:rsid w:val="00B12456"/>
    <w:rsid w:val="00B132E2"/>
    <w:rsid w:val="00B13C54"/>
    <w:rsid w:val="00B145F0"/>
    <w:rsid w:val="00B259C8"/>
    <w:rsid w:val="00B26CCF"/>
    <w:rsid w:val="00B30FC2"/>
    <w:rsid w:val="00B331A2"/>
    <w:rsid w:val="00B34CD0"/>
    <w:rsid w:val="00B425F0"/>
    <w:rsid w:val="00B42DFA"/>
    <w:rsid w:val="00B531DD"/>
    <w:rsid w:val="00B55014"/>
    <w:rsid w:val="00B62232"/>
    <w:rsid w:val="00B6310C"/>
    <w:rsid w:val="00B64DE6"/>
    <w:rsid w:val="00B70BF3"/>
    <w:rsid w:val="00B71DC2"/>
    <w:rsid w:val="00B849F5"/>
    <w:rsid w:val="00B91CFC"/>
    <w:rsid w:val="00B93893"/>
    <w:rsid w:val="00BA1397"/>
    <w:rsid w:val="00BA7E0A"/>
    <w:rsid w:val="00BC13C0"/>
    <w:rsid w:val="00BC2C00"/>
    <w:rsid w:val="00BC3B53"/>
    <w:rsid w:val="00BC3B96"/>
    <w:rsid w:val="00BC4AE3"/>
    <w:rsid w:val="00BC5B28"/>
    <w:rsid w:val="00BD2370"/>
    <w:rsid w:val="00BE3F88"/>
    <w:rsid w:val="00BE4756"/>
    <w:rsid w:val="00BE5ED9"/>
    <w:rsid w:val="00BE7B41"/>
    <w:rsid w:val="00BF2FB9"/>
    <w:rsid w:val="00BF5C9C"/>
    <w:rsid w:val="00C15A91"/>
    <w:rsid w:val="00C206F1"/>
    <w:rsid w:val="00C217E1"/>
    <w:rsid w:val="00C219B1"/>
    <w:rsid w:val="00C31FC7"/>
    <w:rsid w:val="00C34175"/>
    <w:rsid w:val="00C4015B"/>
    <w:rsid w:val="00C40C60"/>
    <w:rsid w:val="00C5258E"/>
    <w:rsid w:val="00C530C9"/>
    <w:rsid w:val="00C619A7"/>
    <w:rsid w:val="00C73D5F"/>
    <w:rsid w:val="00C82AFE"/>
    <w:rsid w:val="00C83DBC"/>
    <w:rsid w:val="00C90702"/>
    <w:rsid w:val="00C97C80"/>
    <w:rsid w:val="00CA47D3"/>
    <w:rsid w:val="00CA6533"/>
    <w:rsid w:val="00CA6A25"/>
    <w:rsid w:val="00CA6A3F"/>
    <w:rsid w:val="00CA7C99"/>
    <w:rsid w:val="00CC21ED"/>
    <w:rsid w:val="00CC6290"/>
    <w:rsid w:val="00CD233D"/>
    <w:rsid w:val="00CD3499"/>
    <w:rsid w:val="00CD362D"/>
    <w:rsid w:val="00CE101D"/>
    <w:rsid w:val="00CE1814"/>
    <w:rsid w:val="00CE1A95"/>
    <w:rsid w:val="00CE1C84"/>
    <w:rsid w:val="00CE5055"/>
    <w:rsid w:val="00CE6AF5"/>
    <w:rsid w:val="00CF053F"/>
    <w:rsid w:val="00CF1A17"/>
    <w:rsid w:val="00D0375A"/>
    <w:rsid w:val="00D050FD"/>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1316"/>
    <w:rsid w:val="00D62419"/>
    <w:rsid w:val="00D73CC2"/>
    <w:rsid w:val="00D77870"/>
    <w:rsid w:val="00D80977"/>
    <w:rsid w:val="00D80CCE"/>
    <w:rsid w:val="00D86EEA"/>
    <w:rsid w:val="00D87D03"/>
    <w:rsid w:val="00D9360B"/>
    <w:rsid w:val="00D956BE"/>
    <w:rsid w:val="00D95C88"/>
    <w:rsid w:val="00D97670"/>
    <w:rsid w:val="00D97B2E"/>
    <w:rsid w:val="00DA241E"/>
    <w:rsid w:val="00DA74BA"/>
    <w:rsid w:val="00DB36FE"/>
    <w:rsid w:val="00DB533A"/>
    <w:rsid w:val="00DB60AE"/>
    <w:rsid w:val="00DB6307"/>
    <w:rsid w:val="00DB775D"/>
    <w:rsid w:val="00DC1F1C"/>
    <w:rsid w:val="00DD1DCD"/>
    <w:rsid w:val="00DD338F"/>
    <w:rsid w:val="00DD66F2"/>
    <w:rsid w:val="00DE3FE0"/>
    <w:rsid w:val="00DE578A"/>
    <w:rsid w:val="00DF2583"/>
    <w:rsid w:val="00DF54D9"/>
    <w:rsid w:val="00DF7283"/>
    <w:rsid w:val="00E01A59"/>
    <w:rsid w:val="00E10DC6"/>
    <w:rsid w:val="00E10F4D"/>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322C6"/>
    <w:rsid w:val="00F41A6F"/>
    <w:rsid w:val="00F45A25"/>
    <w:rsid w:val="00F50F86"/>
    <w:rsid w:val="00F53F91"/>
    <w:rsid w:val="00F61569"/>
    <w:rsid w:val="00F61A72"/>
    <w:rsid w:val="00F62B67"/>
    <w:rsid w:val="00F66F13"/>
    <w:rsid w:val="00F74073"/>
    <w:rsid w:val="00F75603"/>
    <w:rsid w:val="00F845B4"/>
    <w:rsid w:val="00F8713B"/>
    <w:rsid w:val="00F92A6D"/>
    <w:rsid w:val="00F93F9E"/>
    <w:rsid w:val="00FA2CD7"/>
    <w:rsid w:val="00FB06ED"/>
    <w:rsid w:val="00FC2311"/>
    <w:rsid w:val="00FC2A2D"/>
    <w:rsid w:val="00FC3165"/>
    <w:rsid w:val="00FC36AB"/>
    <w:rsid w:val="00FC4300"/>
    <w:rsid w:val="00FC7F66"/>
    <w:rsid w:val="00FD5776"/>
    <w:rsid w:val="00FE1CB6"/>
    <w:rsid w:val="00FE486B"/>
    <w:rsid w:val="00FE4F08"/>
    <w:rsid w:val="00FF192E"/>
    <w:rsid w:val="00FF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675B6"/>
  <w15:docId w15:val="{3C7F3259-E192-4716-B3E3-0707D03F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character" w:customStyle="1" w:styleId="Onopgelostemelding1">
    <w:name w:val="Onopgeloste melding1"/>
    <w:basedOn w:val="Standaardalinea-lettertype"/>
    <w:rsid w:val="002C50B8"/>
    <w:rPr>
      <w:color w:val="605E5C"/>
      <w:shd w:val="clear" w:color="auto" w:fill="E1DFDD"/>
    </w:rPr>
  </w:style>
  <w:style w:type="paragraph" w:styleId="Geenafstand">
    <w:name w:val="No Spacing"/>
    <w:uiPriority w:val="1"/>
    <w:qFormat/>
    <w:rsid w:val="002C50B8"/>
    <w:rPr>
      <w:rFonts w:asciiTheme="minorHAnsi" w:eastAsiaTheme="minorHAnsi" w:hAnsiTheme="minorHAnsi" w:cstheme="minorBidi"/>
      <w:sz w:val="22"/>
      <w:szCs w:val="22"/>
      <w:lang w:val="nl-NL"/>
    </w:rPr>
  </w:style>
  <w:style w:type="paragraph" w:styleId="Lijstalinea">
    <w:name w:val="List Paragraph"/>
    <w:basedOn w:val="Standaard"/>
    <w:uiPriority w:val="34"/>
    <w:qFormat/>
    <w:rsid w:val="002C50B8"/>
    <w:pPr>
      <w:spacing w:line="240" w:lineRule="auto"/>
      <w:ind w:left="720"/>
    </w:pPr>
    <w:rPr>
      <w:rFonts w:ascii="Calibri" w:eastAsiaTheme="minorHAnsi" w:hAnsi="Calibri" w:cs="Calibri"/>
      <w:sz w:val="22"/>
      <w:szCs w:val="22"/>
    </w:rPr>
  </w:style>
  <w:style w:type="character" w:styleId="Voetnootmarkering">
    <w:name w:val="footnote reference"/>
    <w:basedOn w:val="Standaardalinea-lettertype"/>
    <w:semiHidden/>
    <w:unhideWhenUsed/>
    <w:rsid w:val="00810361"/>
    <w:rPr>
      <w:vertAlign w:val="superscript"/>
    </w:rPr>
  </w:style>
  <w:style w:type="character" w:styleId="Verwijzingopmerking">
    <w:name w:val="annotation reference"/>
    <w:basedOn w:val="Standaardalinea-lettertype"/>
    <w:semiHidden/>
    <w:unhideWhenUsed/>
    <w:rsid w:val="00A75F5E"/>
    <w:rPr>
      <w:sz w:val="16"/>
      <w:szCs w:val="16"/>
    </w:rPr>
  </w:style>
  <w:style w:type="paragraph" w:styleId="Tekstopmerking">
    <w:name w:val="annotation text"/>
    <w:basedOn w:val="Standaard"/>
    <w:link w:val="TekstopmerkingChar"/>
    <w:semiHidden/>
    <w:unhideWhenUsed/>
    <w:rsid w:val="00A75F5E"/>
    <w:pPr>
      <w:spacing w:line="240" w:lineRule="auto"/>
    </w:pPr>
    <w:rPr>
      <w:sz w:val="20"/>
      <w:szCs w:val="20"/>
    </w:rPr>
  </w:style>
  <w:style w:type="character" w:customStyle="1" w:styleId="TekstopmerkingChar">
    <w:name w:val="Tekst opmerking Char"/>
    <w:basedOn w:val="Standaardalinea-lettertype"/>
    <w:link w:val="Tekstopmerking"/>
    <w:semiHidden/>
    <w:rsid w:val="00A75F5E"/>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AE7169"/>
    <w:rPr>
      <w:b/>
      <w:bCs/>
    </w:rPr>
  </w:style>
  <w:style w:type="character" w:customStyle="1" w:styleId="OnderwerpvanopmerkingChar">
    <w:name w:val="Onderwerp van opmerking Char"/>
    <w:basedOn w:val="TekstopmerkingChar"/>
    <w:link w:val="Onderwerpvanopmerking"/>
    <w:semiHidden/>
    <w:rsid w:val="00AE7169"/>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E368AF">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227ABE"/>
    <w:rsid w:val="002E4D76"/>
    <w:rsid w:val="00396962"/>
    <w:rsid w:val="004D7741"/>
    <w:rsid w:val="00636303"/>
    <w:rsid w:val="007107B7"/>
    <w:rsid w:val="00791040"/>
    <w:rsid w:val="00845781"/>
    <w:rsid w:val="00847260"/>
    <w:rsid w:val="008713DB"/>
    <w:rsid w:val="009D5998"/>
    <w:rsid w:val="00A22FC5"/>
    <w:rsid w:val="00B70C2D"/>
    <w:rsid w:val="00D201AA"/>
    <w:rsid w:val="00E368AF"/>
    <w:rsid w:val="00E82F81"/>
    <w:rsid w:val="00F575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534F03F3659840BB184C2D5C65D870" ma:contentTypeVersion="17" ma:contentTypeDescription="Een nieuw document maken." ma:contentTypeScope="" ma:versionID="cd4841fb24309a150679604197c507ab">
  <xsd:schema xmlns:xsd="http://www.w3.org/2001/XMLSchema" xmlns:xs="http://www.w3.org/2001/XMLSchema" xmlns:p="http://schemas.microsoft.com/office/2006/metadata/properties" xmlns:ns2="5eed6f38-2d4d-42a2-953e-0d77298c8714" xmlns:ns3="4aaa7d0e-339c-4c8b-90b2-b6581f90dbe5" targetNamespace="http://schemas.microsoft.com/office/2006/metadata/properties" ma:root="true" ma:fieldsID="d2dbdc955ecfecb25866c159dba8cdc7" ns2:_="" ns3:_="">
    <xsd:import namespace="5eed6f38-2d4d-42a2-953e-0d77298c8714"/>
    <xsd:import namespace="4aaa7d0e-339c-4c8b-90b2-b6581f90d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6f38-2d4d-42a2-953e-0d77298c87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f3ee2499-36f3-42b1-9cc8-5958ec02da46}" ma:internalName="TaxCatchAll" ma:showField="CatchAllData" ma:web="5eed6f38-2d4d-42a2-953e-0d77298c87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aa7d0e-339c-4c8b-90b2-b6581f90db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Afmeldingsstatus" ma:internalName="Afmeldings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008f045e-f90b-4b3e-958e-3600deb9141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aaa7d0e-339c-4c8b-90b2-b6581f90dbe5" xsi:nil="true"/>
    <lcf76f155ced4ddcb4097134ff3c332f xmlns="4aaa7d0e-339c-4c8b-90b2-b6581f90dbe5">
      <Terms xmlns="http://schemas.microsoft.com/office/infopath/2007/PartnerControls"/>
    </lcf76f155ced4ddcb4097134ff3c332f>
    <TaxCatchAll xmlns="5eed6f38-2d4d-42a2-953e-0d77298c8714" xsi:nil="true"/>
  </documentManagement>
</p:properties>
</file>

<file path=customXml/itemProps1.xml><?xml version="1.0" encoding="utf-8"?>
<ds:datastoreItem xmlns:ds="http://schemas.openxmlformats.org/officeDocument/2006/customXml" ds:itemID="{B6D8D894-00EA-465B-8890-CB544926C196}">
  <ds:schemaRefs>
    <ds:schemaRef ds:uri="http://schemas.microsoft.com/sharepoint/v3/contenttype/forms"/>
  </ds:schemaRefs>
</ds:datastoreItem>
</file>

<file path=customXml/itemProps2.xml><?xml version="1.0" encoding="utf-8"?>
<ds:datastoreItem xmlns:ds="http://schemas.openxmlformats.org/officeDocument/2006/customXml" ds:itemID="{71B61C07-A55B-4E5E-96E1-3BBBF7A58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6f38-2d4d-42a2-953e-0d77298c8714"/>
    <ds:schemaRef ds:uri="4aaa7d0e-339c-4c8b-90b2-b6581f90d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769DB-3FE2-4659-A35C-4D6C198DBC7C}">
  <ds:schemaRefs>
    <ds:schemaRef ds:uri="http://schemas.microsoft.com/office/2006/metadata/properties"/>
    <ds:schemaRef ds:uri="http://schemas.microsoft.com/office/infopath/2007/PartnerControls"/>
    <ds:schemaRef ds:uri="4aaa7d0e-339c-4c8b-90b2-b6581f90dbe5"/>
    <ds:schemaRef ds:uri="5eed6f38-2d4d-42a2-953e-0d77298c87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4385</Words>
  <Characters>24972</Characters>
  <Application>Microsoft Office Word</Application>
  <DocSecurity>4</DocSecurity>
  <Lines>208</Lines>
  <Paragraphs>58</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Wentink | HIER</dc:creator>
  <cp:keywords/>
  <dc:description>------------------------</dc:description>
  <cp:lastModifiedBy>Ante Sellis | HIER</cp:lastModifiedBy>
  <cp:revision>2</cp:revision>
  <cp:lastPrinted>2022-11-21T08:45:00Z</cp:lastPrinted>
  <dcterms:created xsi:type="dcterms:W3CDTF">2022-11-21T12:48:00Z</dcterms:created>
  <dcterms:modified xsi:type="dcterms:W3CDTF">2022-11-21T12:48:00Z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keuningj</vt:lpwstr>
  </property>
  <property fmtid="{D5CDD505-2E9C-101B-9397-08002B2CF9AE}" pid="3" name="A_ADRES">
    <vt:lpwstr>De voorzitter der Staten-Generaal
Bezuidenhoutseweg 67
2594 AC  DEN HAAG</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Subsidieregeling Coöperatieve Energieopwekking 2023</vt:lpwstr>
  </property>
  <property fmtid="{D5CDD505-2E9C-101B-9397-08002B2CF9AE}" pid="8" name="documentId">
    <vt:lpwstr>22436004</vt:lpwstr>
  </property>
  <property fmtid="{D5CDD505-2E9C-101B-9397-08002B2CF9AE}" pid="9" name="MSIP_Label_4bde8109-f994-4a60-a1d3-5c95e2ff3620_ActionId">
    <vt:lpwstr>613a64f0-fc69-4145-93b7-2bb1eaa10551</vt:lpwstr>
  </property>
  <property fmtid="{D5CDD505-2E9C-101B-9397-08002B2CF9AE}" pid="10" name="MSIP_Label_4bde8109-f994-4a60-a1d3-5c95e2ff3620_ContentBits">
    <vt:lpwstr>0</vt:lpwstr>
  </property>
  <property fmtid="{D5CDD505-2E9C-101B-9397-08002B2CF9AE}" pid="11" name="MSIP_Label_4bde8109-f994-4a60-a1d3-5c95e2ff3620_Enabled">
    <vt:lpwstr>true</vt:lpwstr>
  </property>
  <property fmtid="{D5CDD505-2E9C-101B-9397-08002B2CF9AE}" pid="12" name="MSIP_Label_4bde8109-f994-4a60-a1d3-5c95e2ff3620_Method">
    <vt:lpwstr>Privileged</vt:lpwstr>
  </property>
  <property fmtid="{D5CDD505-2E9C-101B-9397-08002B2CF9AE}" pid="13" name="MSIP_Label_4bde8109-f994-4a60-a1d3-5c95e2ff3620_Name">
    <vt:lpwstr>FLPubliek</vt:lpwstr>
  </property>
  <property fmtid="{D5CDD505-2E9C-101B-9397-08002B2CF9AE}" pid="14" name="MSIP_Label_4bde8109-f994-4a60-a1d3-5c95e2ff3620_SetDate">
    <vt:lpwstr>2022-08-26T14:53:36Z</vt:lpwstr>
  </property>
  <property fmtid="{D5CDD505-2E9C-101B-9397-08002B2CF9AE}" pid="15" name="MSIP_Label_4bde8109-f994-4a60-a1d3-5c95e2ff3620_SiteId">
    <vt:lpwstr>1321633e-f6b9-44e2-a44f-59b9d264ecb7</vt:lpwstr>
  </property>
  <property fmtid="{D5CDD505-2E9C-101B-9397-08002B2CF9AE}" pid="16" name="TYPE_ID">
    <vt:lpwstr>Brief</vt:lpwstr>
  </property>
  <property fmtid="{D5CDD505-2E9C-101B-9397-08002B2CF9AE}" pid="17" name="ContentTypeId">
    <vt:lpwstr>0x01010096534F03F3659840BB184C2D5C65D870</vt:lpwstr>
  </property>
</Properties>
</file>